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020DB" w14:textId="3B71B601" w:rsidR="00F47F6D" w:rsidRPr="00163DBE" w:rsidRDefault="000D2971" w:rsidP="00F47F6D">
      <w:pPr>
        <w:pStyle w:val="Rubrik"/>
        <w:rPr>
          <w:rFonts w:ascii="Baton Turbo" w:hAnsi="Baton Turbo"/>
        </w:rPr>
      </w:pPr>
      <w:r>
        <w:rPr>
          <w:rFonts w:ascii="Baton Turbo" w:hAnsi="Baton Turbo"/>
        </w:rPr>
        <w:t>Partistämmans beslut från klimat- och energiprogrammet</w:t>
      </w:r>
    </w:p>
    <w:tbl>
      <w:tblPr>
        <w:tblStyle w:val="Tabellrutnt"/>
        <w:tblW w:w="0" w:type="auto"/>
        <w:tblLook w:val="04A0" w:firstRow="1" w:lastRow="0" w:firstColumn="1" w:lastColumn="0" w:noHBand="0" w:noVBand="1"/>
      </w:tblPr>
      <w:tblGrid>
        <w:gridCol w:w="1696"/>
        <w:gridCol w:w="5954"/>
      </w:tblGrid>
      <w:tr w:rsidR="000D2971" w14:paraId="23987419" w14:textId="77777777" w:rsidTr="00C94DAA">
        <w:tc>
          <w:tcPr>
            <w:tcW w:w="1696" w:type="dxa"/>
          </w:tcPr>
          <w:p w14:paraId="4EB6C938" w14:textId="77777777" w:rsidR="000D2971" w:rsidRDefault="000D2971" w:rsidP="00C94DAA">
            <w:r>
              <w:t xml:space="preserve">P.1 </w:t>
            </w:r>
          </w:p>
        </w:tc>
        <w:tc>
          <w:tcPr>
            <w:tcW w:w="5954" w:type="dxa"/>
          </w:tcPr>
          <w:p w14:paraId="555250AB" w14:textId="77777777" w:rsidR="000D2971" w:rsidRDefault="000D2971" w:rsidP="00C94DAA">
            <w:r>
              <w:rPr>
                <w:noProof/>
              </w:rPr>
              <w:t>att det ska införas en ny kraftfull klimatbonus för dels nya billigare miljöbilar, och dels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w:t>
            </w:r>
          </w:p>
        </w:tc>
      </w:tr>
      <w:tr w:rsidR="000D2971" w14:paraId="3D73E3CA" w14:textId="77777777" w:rsidTr="00C94DAA">
        <w:tc>
          <w:tcPr>
            <w:tcW w:w="1696" w:type="dxa"/>
          </w:tcPr>
          <w:p w14:paraId="2AAAA805" w14:textId="77777777" w:rsidR="000D2971" w:rsidRDefault="000D2971" w:rsidP="00C94DAA">
            <w:r>
              <w:rPr>
                <w:noProof/>
              </w:rPr>
              <w:t>P.2</w:t>
            </w:r>
          </w:p>
        </w:tc>
        <w:tc>
          <w:tcPr>
            <w:tcW w:w="5954" w:type="dxa"/>
          </w:tcPr>
          <w:p w14:paraId="6FFC7F7C" w14:textId="77777777" w:rsidR="000D2971" w:rsidRDefault="000D2971" w:rsidP="00C94DAA">
            <w:r>
              <w:rPr>
                <w:noProof/>
              </w:rPr>
              <w:t>att Sverige inför en ”tanka svenskt”-politik som syftar till att konsumenten får konkurrenskraftigt grönt svenskt biobränsle av svenska råvaror, där skatt och moms på alla biodrivmedel, hög- och låginblandade, inklusive biogas och vätgas, ska sänkas till ett minimum.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w:t>
            </w:r>
          </w:p>
        </w:tc>
      </w:tr>
      <w:tr w:rsidR="000D2971" w14:paraId="0B6AB9F6" w14:textId="77777777" w:rsidTr="00C94DAA">
        <w:tc>
          <w:tcPr>
            <w:tcW w:w="1696" w:type="dxa"/>
          </w:tcPr>
          <w:p w14:paraId="21F6872A" w14:textId="77777777" w:rsidR="000D2971" w:rsidRDefault="000D2971" w:rsidP="00C94DAA">
            <w:r>
              <w:rPr>
                <w:noProof/>
              </w:rPr>
              <w:t>P.3</w:t>
            </w:r>
          </w:p>
        </w:tc>
        <w:tc>
          <w:tcPr>
            <w:tcW w:w="5954" w:type="dxa"/>
          </w:tcPr>
          <w:p w14:paraId="09AC1461" w14:textId="77777777" w:rsidR="000D2971" w:rsidRDefault="000D2971" w:rsidP="00C94DAA">
            <w:r>
              <w:rPr>
                <w:noProof/>
              </w:rPr>
              <w:t>att laddinfrastrukturen byggs ut med incitament för hemmet, bostadsrättsföreningar, arbetsplatsen, på parkeringsplatser och på vägar och farleder samt att regelverken för bidrag och installation ses över. Knytpunkter på landsbygden, som bemannade mackar och lanthandlare, bör ges möjlighet att bli snabbladdningspunkter. ”Rätt till laddning” ska införas i anslutning till privatägda lägenheter med möjlighet att installera laddstolpe på egen bekostnad. Ett mål om minst 150 000 offentliga laddpunkter till 2030 upprättas.</w:t>
            </w:r>
          </w:p>
        </w:tc>
      </w:tr>
      <w:tr w:rsidR="000D2971" w14:paraId="09B7518B" w14:textId="77777777" w:rsidTr="00C94DAA">
        <w:tc>
          <w:tcPr>
            <w:tcW w:w="1696" w:type="dxa"/>
          </w:tcPr>
          <w:p w14:paraId="186CC911" w14:textId="77777777" w:rsidR="000D2971" w:rsidRDefault="000D2971" w:rsidP="00C94DAA">
            <w:r>
              <w:rPr>
                <w:noProof/>
              </w:rPr>
              <w:t>P.4</w:t>
            </w:r>
          </w:p>
        </w:tc>
        <w:tc>
          <w:tcPr>
            <w:tcW w:w="5954" w:type="dxa"/>
          </w:tcPr>
          <w:p w14:paraId="206A5B95" w14:textId="77777777" w:rsidR="000D2971" w:rsidRDefault="000D2971" w:rsidP="00C94DAA">
            <w:r>
              <w:rPr>
                <w:noProof/>
              </w:rPr>
              <w:t>att alla ges möjlighet att vara med och spara på såväl elräkningen som klimatet, genom att energibesparingar inkluderas i ett utvidgat grönt avdrag och med införandet av klimatkrediter. Ett mål sätts upp om att inga permanenthus värms upp med enbart direktverkande el eller olja efter år 2025.</w:t>
            </w:r>
          </w:p>
        </w:tc>
      </w:tr>
      <w:tr w:rsidR="000D2971" w14:paraId="0B8C1BD2" w14:textId="77777777" w:rsidTr="00C94DAA">
        <w:tc>
          <w:tcPr>
            <w:tcW w:w="1696" w:type="dxa"/>
          </w:tcPr>
          <w:p w14:paraId="58BFE8E8" w14:textId="77777777" w:rsidR="000D2971" w:rsidRDefault="000D2971" w:rsidP="00C94DAA">
            <w:r>
              <w:t>P.5</w:t>
            </w:r>
          </w:p>
        </w:tc>
        <w:tc>
          <w:tcPr>
            <w:tcW w:w="5954" w:type="dxa"/>
          </w:tcPr>
          <w:p w14:paraId="5556FAF3" w14:textId="77777777" w:rsidR="000D2971" w:rsidRDefault="000D2971" w:rsidP="00C94DAA">
            <w:r w:rsidRPr="00FE452D">
              <w:rPr>
                <w:noProof/>
              </w:rPr>
              <w:t>att acceptansen för, och möjligheten till, utbyggd elproduktion ökar, genom att underlätta installation av solceller och privatpersoners försäljning av solenergi till elnätet, att säkerställa tillräcklig ersättning för närboende och lokal skatt till kommuner vid utbyggd vindkraft och solcellsparker, att fullt ut regionalisera fastighetsskatten på elproducerande fastigheter och förbättra möjligheterna att skapa lokala energigemenskaper.</w:t>
            </w:r>
          </w:p>
        </w:tc>
      </w:tr>
      <w:tr w:rsidR="000D2971" w14:paraId="06EC5C37" w14:textId="77777777" w:rsidTr="00C94DAA">
        <w:tc>
          <w:tcPr>
            <w:tcW w:w="1696" w:type="dxa"/>
          </w:tcPr>
          <w:p w14:paraId="19140A94" w14:textId="77777777" w:rsidR="000D2971" w:rsidRDefault="000D2971" w:rsidP="00C94DAA">
            <w:r>
              <w:rPr>
                <w:noProof/>
              </w:rPr>
              <w:t>P.6</w:t>
            </w:r>
          </w:p>
        </w:tc>
        <w:tc>
          <w:tcPr>
            <w:tcW w:w="5954" w:type="dxa"/>
          </w:tcPr>
          <w:p w14:paraId="30E68797" w14:textId="77777777" w:rsidR="000D2971" w:rsidRDefault="000D2971" w:rsidP="00C94DAA">
            <w:r>
              <w:rPr>
                <w:noProof/>
              </w:rPr>
              <w:t>att alla produkter inom EU förses med en klimatdeklaration som gör att konsumenter kan jämföra klimatutsläpp och energibesparingar, med vissa undantag för småföretag.</w:t>
            </w:r>
          </w:p>
        </w:tc>
      </w:tr>
      <w:tr w:rsidR="000D2971" w14:paraId="36E1C242" w14:textId="77777777" w:rsidTr="00C94DAA">
        <w:tc>
          <w:tcPr>
            <w:tcW w:w="1696" w:type="dxa"/>
          </w:tcPr>
          <w:p w14:paraId="349A6793" w14:textId="77777777" w:rsidR="000D2971" w:rsidRDefault="000D2971" w:rsidP="00C94DAA">
            <w:r>
              <w:rPr>
                <w:noProof/>
              </w:rPr>
              <w:t>P.7</w:t>
            </w:r>
          </w:p>
        </w:tc>
        <w:tc>
          <w:tcPr>
            <w:tcW w:w="5954" w:type="dxa"/>
          </w:tcPr>
          <w:p w14:paraId="228431B8" w14:textId="77777777" w:rsidR="000D2971" w:rsidRDefault="000D2971" w:rsidP="00C94DAA">
            <w:r>
              <w:rPr>
                <w:noProof/>
              </w:rPr>
              <w:t>att sänkt moms för reparationer återinförs och att ett RUT-avdrag införs för reparationer för att göra återbruk mer gångbart</w:t>
            </w:r>
          </w:p>
        </w:tc>
      </w:tr>
      <w:tr w:rsidR="000D2971" w14:paraId="5A35239F" w14:textId="77777777" w:rsidTr="00C94DAA">
        <w:tc>
          <w:tcPr>
            <w:tcW w:w="1696" w:type="dxa"/>
          </w:tcPr>
          <w:p w14:paraId="0DE64109" w14:textId="77777777" w:rsidR="000D2971" w:rsidRDefault="000D2971" w:rsidP="00C94DAA">
            <w:r>
              <w:rPr>
                <w:noProof/>
              </w:rPr>
              <w:t>P.8</w:t>
            </w:r>
          </w:p>
        </w:tc>
        <w:tc>
          <w:tcPr>
            <w:tcW w:w="5954" w:type="dxa"/>
          </w:tcPr>
          <w:p w14:paraId="5559AEB1" w14:textId="77777777" w:rsidR="000D2971" w:rsidRDefault="000D2971" w:rsidP="00C94DAA">
            <w:r>
              <w:rPr>
                <w:noProof/>
              </w:rPr>
              <w:t>att staten står för finansieringen av anslutningar till stora fossilfria produktionskällor av el till elnätet.</w:t>
            </w:r>
          </w:p>
        </w:tc>
      </w:tr>
      <w:tr w:rsidR="000D2971" w14:paraId="7E60A64B" w14:textId="77777777" w:rsidTr="00C94DAA">
        <w:tc>
          <w:tcPr>
            <w:tcW w:w="1696" w:type="dxa"/>
          </w:tcPr>
          <w:p w14:paraId="43A471CA" w14:textId="77777777" w:rsidR="000D2971" w:rsidRDefault="000D2971" w:rsidP="00C94DAA">
            <w:r>
              <w:rPr>
                <w:noProof/>
              </w:rPr>
              <w:lastRenderedPageBreak/>
              <w:t>P.9</w:t>
            </w:r>
          </w:p>
        </w:tc>
        <w:tc>
          <w:tcPr>
            <w:tcW w:w="5954" w:type="dxa"/>
          </w:tcPr>
          <w:p w14:paraId="16AE22DC" w14:textId="77777777" w:rsidR="000D2971" w:rsidRDefault="000D2971" w:rsidP="00C94DAA">
            <w:r>
              <w:rPr>
                <w:noProof/>
              </w:rPr>
              <w:t>att Svenska kraftnät får i uppdrag att anpassa transmissionsnätet i förväg till snabbt utökad storskalig produktion av el på många platser, inklusive planerade vindkraftsparker och kraftigt ökad överföringskapacitet mellan olika elområden.</w:t>
            </w:r>
          </w:p>
        </w:tc>
      </w:tr>
      <w:tr w:rsidR="000D2971" w14:paraId="2185408C" w14:textId="77777777" w:rsidTr="00C94DAA">
        <w:tc>
          <w:tcPr>
            <w:tcW w:w="1696" w:type="dxa"/>
          </w:tcPr>
          <w:p w14:paraId="5CD8775E" w14:textId="77777777" w:rsidR="000D2971" w:rsidRDefault="000D2971" w:rsidP="00C94DAA">
            <w:r>
              <w:rPr>
                <w:noProof/>
              </w:rPr>
              <w:t>P.10</w:t>
            </w:r>
          </w:p>
        </w:tc>
        <w:tc>
          <w:tcPr>
            <w:tcW w:w="5954" w:type="dxa"/>
          </w:tcPr>
          <w:p w14:paraId="77682F2E" w14:textId="77777777" w:rsidR="000D2971" w:rsidRDefault="000D2971" w:rsidP="00C94DAA">
            <w:r>
              <w:rPr>
                <w:noProof/>
              </w:rPr>
              <w:t>att en kriskommission för ny kraft tillsätts med uppdrag att se över lagstiftning och tillståndsprocesser och korta handläggning till maximalt två år. I samband med det tillsätts en utredning i syfte att ta fram förslag på en reformerad miljöbalk, som bättre balanserar hänsyn till såväl miljö som klimat. Sverige bör likt Danmark införa villkorade tillstånd från Försvarsmakten, där Försvarsmakten redogör för vad som krävs för ett godkännande.</w:t>
            </w:r>
          </w:p>
        </w:tc>
      </w:tr>
      <w:tr w:rsidR="000D2971" w14:paraId="6675D29E" w14:textId="77777777" w:rsidTr="00C94DAA">
        <w:tc>
          <w:tcPr>
            <w:tcW w:w="1696" w:type="dxa"/>
          </w:tcPr>
          <w:p w14:paraId="100A05B7" w14:textId="77777777" w:rsidR="000D2971" w:rsidRDefault="000D2971" w:rsidP="00C94DAA">
            <w:r>
              <w:rPr>
                <w:noProof/>
              </w:rPr>
              <w:t>P.11</w:t>
            </w:r>
          </w:p>
        </w:tc>
        <w:tc>
          <w:tcPr>
            <w:tcW w:w="5954" w:type="dxa"/>
          </w:tcPr>
          <w:p w14:paraId="6B8A0290" w14:textId="77777777" w:rsidR="000D2971" w:rsidRDefault="000D2971" w:rsidP="00C94DAA">
            <w:r>
              <w:rPr>
                <w:noProof/>
              </w:rPr>
              <w:t>att ersättningarna för intrång vid byggnation av elnät ska höjas, för att kompensera för de förluster som markägaren gör, i syfte att öka acceptansen för nya elnät.</w:t>
            </w:r>
          </w:p>
        </w:tc>
      </w:tr>
      <w:tr w:rsidR="000D2971" w14:paraId="2E08DBD7" w14:textId="77777777" w:rsidTr="00C94DAA">
        <w:tc>
          <w:tcPr>
            <w:tcW w:w="1696" w:type="dxa"/>
          </w:tcPr>
          <w:p w14:paraId="511DD7E8" w14:textId="77777777" w:rsidR="000D2971" w:rsidRDefault="000D2971" w:rsidP="00C94DAA">
            <w:r>
              <w:rPr>
                <w:noProof/>
              </w:rPr>
              <w:t>P.12</w:t>
            </w:r>
          </w:p>
        </w:tc>
        <w:tc>
          <w:tcPr>
            <w:tcW w:w="5954" w:type="dxa"/>
          </w:tcPr>
          <w:p w14:paraId="00F0B753" w14:textId="77777777" w:rsidR="000D2971" w:rsidRDefault="000D2971" w:rsidP="00C94DAA">
            <w:r>
              <w:rPr>
                <w:noProof/>
              </w:rPr>
              <w:t>att begränsningen på tio kärnkraftsreaktorer tas bort, och målet om 100 procent förnybar elproduktion till 2040 ändras till ett mer ambitiöst mål om ett 100 procent fossilfritt energisystem till 2040. Alla kärnkraftsaktörer ska själva bära kostnaderna för säkerhet, avfallshantering och olycksförsäkring. Det kräver ökade avsättningar för avfallshantering. Kärnkraften ska inte subventioneras vid vare sig byggnation, drift eller avveckling.</w:t>
            </w:r>
          </w:p>
        </w:tc>
      </w:tr>
      <w:tr w:rsidR="000D2971" w14:paraId="6B295FA7" w14:textId="77777777" w:rsidTr="00C94DAA">
        <w:tc>
          <w:tcPr>
            <w:tcW w:w="1696" w:type="dxa"/>
          </w:tcPr>
          <w:p w14:paraId="24E697D8" w14:textId="77777777" w:rsidR="000D2971" w:rsidRDefault="000D2971" w:rsidP="00C94DAA">
            <w:r>
              <w:rPr>
                <w:noProof/>
              </w:rPr>
              <w:t>P.13</w:t>
            </w:r>
          </w:p>
        </w:tc>
        <w:tc>
          <w:tcPr>
            <w:tcW w:w="5954" w:type="dxa"/>
          </w:tcPr>
          <w:p w14:paraId="3D5BF54D" w14:textId="77777777" w:rsidR="000D2971" w:rsidRDefault="000D2971" w:rsidP="00C94DAA">
            <w:r>
              <w:rPr>
                <w:noProof/>
              </w:rPr>
              <w:t>att en biopremie för användande av biodiesel i jord- och skogsbruk samt en klimatbonus för större jordbruks- och skogsmaskiner som går på el eller gas införs. Vi vill även se ett likvärdigt eller mer gynnsamt klimatneutralt jordbruksavdrag omvandlat från dagens dieselskattenedsättning för jordbruk senast 2026</w:t>
            </w:r>
          </w:p>
        </w:tc>
      </w:tr>
      <w:tr w:rsidR="000D2971" w14:paraId="528B7B4E" w14:textId="77777777" w:rsidTr="00C94DAA">
        <w:tc>
          <w:tcPr>
            <w:tcW w:w="1696" w:type="dxa"/>
          </w:tcPr>
          <w:p w14:paraId="2D476B00" w14:textId="77777777" w:rsidR="000D2971" w:rsidRDefault="000D2971" w:rsidP="00C94DAA">
            <w:r>
              <w:rPr>
                <w:noProof/>
              </w:rPr>
              <w:t>P.14</w:t>
            </w:r>
          </w:p>
        </w:tc>
        <w:tc>
          <w:tcPr>
            <w:tcW w:w="5954" w:type="dxa"/>
          </w:tcPr>
          <w:p w14:paraId="27E0B70B" w14:textId="77777777" w:rsidR="000D2971" w:rsidRDefault="000D2971" w:rsidP="00C94DAA">
            <w:r>
              <w:rPr>
                <w:noProof/>
              </w:rPr>
              <w:t>att biogas garanteras långsiktig skattefrihet samtidigt som stödet till biogasproduktion byggs ut kraftigt.</w:t>
            </w:r>
          </w:p>
        </w:tc>
      </w:tr>
      <w:tr w:rsidR="000D2971" w14:paraId="7C0111BC" w14:textId="77777777" w:rsidTr="00C94DAA">
        <w:tc>
          <w:tcPr>
            <w:tcW w:w="1696" w:type="dxa"/>
          </w:tcPr>
          <w:p w14:paraId="4C064B02" w14:textId="77777777" w:rsidR="000D2971" w:rsidRDefault="000D2971" w:rsidP="00C94DAA">
            <w:r>
              <w:rPr>
                <w:noProof/>
              </w:rPr>
              <w:t>P.15</w:t>
            </w:r>
          </w:p>
        </w:tc>
        <w:tc>
          <w:tcPr>
            <w:tcW w:w="5954" w:type="dxa"/>
          </w:tcPr>
          <w:p w14:paraId="2878663E" w14:textId="77777777" w:rsidR="000D2971" w:rsidRDefault="000D2971" w:rsidP="00C94DAA">
            <w:r>
              <w:rPr>
                <w:noProof/>
              </w:rPr>
              <w:t>att snabbladdning för fordon ska erbjudas på Trafikverkets alla rastplatser runt om i landet, så att externa leverantörer snabbt kan bygga ut laddinfrastrukturen. Dagens klimatpremie till miljölastbilar förlängs.</w:t>
            </w:r>
          </w:p>
        </w:tc>
      </w:tr>
      <w:tr w:rsidR="000D2971" w14:paraId="0470EEB1" w14:textId="77777777" w:rsidTr="00C94DAA">
        <w:tc>
          <w:tcPr>
            <w:tcW w:w="1696" w:type="dxa"/>
          </w:tcPr>
          <w:p w14:paraId="50125142" w14:textId="77777777" w:rsidR="000D2971" w:rsidRDefault="000D2971" w:rsidP="00C94DAA">
            <w:r>
              <w:rPr>
                <w:noProof/>
              </w:rPr>
              <w:t>P.16</w:t>
            </w:r>
          </w:p>
        </w:tc>
        <w:tc>
          <w:tcPr>
            <w:tcW w:w="5954" w:type="dxa"/>
          </w:tcPr>
          <w:p w14:paraId="69C42378" w14:textId="77777777" w:rsidR="000D2971" w:rsidRDefault="000D2971" w:rsidP="00C94DAA">
            <w:r>
              <w:rPr>
                <w:noProof/>
              </w:rPr>
              <w:t>att cykeltrafikens roll i transportplaneringen uppvärderas, genom att cykel klassificeras som ett nationellt transportslag.</w:t>
            </w:r>
          </w:p>
        </w:tc>
      </w:tr>
      <w:tr w:rsidR="000D2971" w14:paraId="0F6B5765" w14:textId="77777777" w:rsidTr="00C94DAA">
        <w:tc>
          <w:tcPr>
            <w:tcW w:w="1696" w:type="dxa"/>
          </w:tcPr>
          <w:p w14:paraId="7B81A5CF" w14:textId="77777777" w:rsidR="000D2971" w:rsidRDefault="000D2971" w:rsidP="00C94DAA">
            <w:r>
              <w:rPr>
                <w:noProof/>
              </w:rPr>
              <w:t>P.17</w:t>
            </w:r>
          </w:p>
        </w:tc>
        <w:tc>
          <w:tcPr>
            <w:tcW w:w="5954" w:type="dxa"/>
          </w:tcPr>
          <w:p w14:paraId="37C2E82A" w14:textId="77777777" w:rsidR="000D2971" w:rsidRDefault="000D2971" w:rsidP="00C94DAA">
            <w:r>
              <w:rPr>
                <w:noProof/>
              </w:rPr>
              <w:t>att staten matchar utbyggnaden av stora gröna industrier med förstärkt infrastruktur och underlättar kommunernas långsiktiga finansiering av matchande samhällsinsatser som skolor och vårdinrättningar. Staten bör även snabbt bidra till kompetensförsörjningen genom utbyggnad av yrkesvux, yrkeshögskoleplatser, platser inom vidareutbildningarna i bristyrken i omställningsstudiestödet, och genom arbetskraftsinvandring.</w:t>
            </w:r>
          </w:p>
        </w:tc>
      </w:tr>
      <w:tr w:rsidR="000D2971" w14:paraId="0C936DDE" w14:textId="77777777" w:rsidTr="00C94DAA">
        <w:tc>
          <w:tcPr>
            <w:tcW w:w="1696" w:type="dxa"/>
          </w:tcPr>
          <w:p w14:paraId="240466FB" w14:textId="77777777" w:rsidR="000D2971" w:rsidRDefault="000D2971" w:rsidP="00C94DAA">
            <w:r>
              <w:rPr>
                <w:noProof/>
              </w:rPr>
              <w:t>P.18</w:t>
            </w:r>
          </w:p>
        </w:tc>
        <w:tc>
          <w:tcPr>
            <w:tcW w:w="5954" w:type="dxa"/>
          </w:tcPr>
          <w:p w14:paraId="57EF61E1" w14:textId="77777777" w:rsidR="000D2971" w:rsidRDefault="000D2971" w:rsidP="00C94DAA">
            <w:r>
              <w:rPr>
                <w:noProof/>
              </w:rPr>
              <w:t>att Sverige verkar för att EU snarast kopplar ihop sin utsläppsmarknad ETS med andra utsläppsmarknader i världen för att skapa ett globalt pris på koldioxid.</w:t>
            </w:r>
          </w:p>
        </w:tc>
      </w:tr>
      <w:tr w:rsidR="000D2971" w14:paraId="4565DD64" w14:textId="77777777" w:rsidTr="00C94DAA">
        <w:tc>
          <w:tcPr>
            <w:tcW w:w="1696" w:type="dxa"/>
          </w:tcPr>
          <w:p w14:paraId="0EEA95A0" w14:textId="77777777" w:rsidR="000D2971" w:rsidRDefault="000D2971" w:rsidP="00C94DAA">
            <w:r>
              <w:rPr>
                <w:noProof/>
              </w:rPr>
              <w:t>P.19</w:t>
            </w:r>
          </w:p>
        </w:tc>
        <w:tc>
          <w:tcPr>
            <w:tcW w:w="5954" w:type="dxa"/>
          </w:tcPr>
          <w:p w14:paraId="587AC289" w14:textId="77777777" w:rsidR="000D2971" w:rsidRDefault="000D2971" w:rsidP="00C94DAA">
            <w:r>
              <w:rPr>
                <w:noProof/>
              </w:rPr>
              <w:t>att det införs en mekanism, exempelvis genom upprättandet av en handelsplats, som ökar ersättningen för koldioxidinfångning, tills dess Sverige når netto noll utsläpp.</w:t>
            </w:r>
          </w:p>
        </w:tc>
      </w:tr>
      <w:tr w:rsidR="000D2971" w14:paraId="3DA93C29" w14:textId="77777777" w:rsidTr="00C94DAA">
        <w:tc>
          <w:tcPr>
            <w:tcW w:w="1696" w:type="dxa"/>
          </w:tcPr>
          <w:p w14:paraId="6FEB23F6" w14:textId="77777777" w:rsidR="000D2971" w:rsidRDefault="000D2971" w:rsidP="00C94DAA">
            <w:r>
              <w:rPr>
                <w:noProof/>
              </w:rPr>
              <w:lastRenderedPageBreak/>
              <w:t>P.20</w:t>
            </w:r>
          </w:p>
        </w:tc>
        <w:tc>
          <w:tcPr>
            <w:tcW w:w="5954" w:type="dxa"/>
          </w:tcPr>
          <w:p w14:paraId="2ACF7E05" w14:textId="77777777" w:rsidR="000D2971" w:rsidRDefault="000D2971" w:rsidP="00C94DAA">
            <w:r>
              <w:rPr>
                <w:noProof/>
              </w:rPr>
              <w:t>att det skyndsamt skapas hållbara och långsiktiga lösningar både globalt och på EU-nivå för att trygga framtiden för klimatflyktingar, i och med att antalet människor i världen som drabbas av klimatförändringar kommer att öka. Länder, ledare och personer som bryter mot internationell rätt genom att med berått mod ha orsakat miljöskada i katastrofal skala ska kunna åtalas enligt brottsrubriceringen ekocid och ställas inför rätta enligt internationell rätt.</w:t>
            </w:r>
          </w:p>
        </w:tc>
      </w:tr>
      <w:tr w:rsidR="000D2971" w14:paraId="6AA8623A" w14:textId="77777777" w:rsidTr="00C94DAA">
        <w:tc>
          <w:tcPr>
            <w:tcW w:w="1696" w:type="dxa"/>
          </w:tcPr>
          <w:p w14:paraId="2075B95A" w14:textId="77777777" w:rsidR="000D2971" w:rsidRDefault="000D2971" w:rsidP="00C94DAA"/>
        </w:tc>
        <w:tc>
          <w:tcPr>
            <w:tcW w:w="5954" w:type="dxa"/>
          </w:tcPr>
          <w:p w14:paraId="5F547DF9" w14:textId="77777777" w:rsidR="000D2971" w:rsidRDefault="000D2971" w:rsidP="00C94DAA"/>
        </w:tc>
      </w:tr>
      <w:tr w:rsidR="000D2971" w14:paraId="50F51CAB" w14:textId="77777777" w:rsidTr="00C94DAA">
        <w:tc>
          <w:tcPr>
            <w:tcW w:w="1696" w:type="dxa"/>
          </w:tcPr>
          <w:p w14:paraId="58CD4893" w14:textId="77777777" w:rsidR="000D2971" w:rsidRDefault="000D2971" w:rsidP="00C94DAA"/>
        </w:tc>
        <w:tc>
          <w:tcPr>
            <w:tcW w:w="5954" w:type="dxa"/>
          </w:tcPr>
          <w:p w14:paraId="566612C2" w14:textId="77777777" w:rsidR="000D2971" w:rsidRDefault="000D2971" w:rsidP="00C94DAA"/>
        </w:tc>
      </w:tr>
    </w:tbl>
    <w:p w14:paraId="3BD79959" w14:textId="5922C0E6" w:rsidR="00F47F6D" w:rsidRDefault="00F47F6D" w:rsidP="000D5BF4">
      <w:pPr>
        <w:rPr>
          <w:i/>
        </w:rPr>
      </w:pPr>
    </w:p>
    <w:p w14:paraId="254F2208" w14:textId="77777777" w:rsidR="00F47F6D" w:rsidRDefault="00F47F6D" w:rsidP="000D5BF4"/>
    <w:sectPr w:rsidR="00F47F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BDE64" w14:textId="77777777" w:rsidR="00F10AC9" w:rsidRDefault="00F10AC9" w:rsidP="004E0852">
      <w:pPr>
        <w:spacing w:after="0" w:line="240" w:lineRule="auto"/>
      </w:pPr>
      <w:r>
        <w:separator/>
      </w:r>
    </w:p>
  </w:endnote>
  <w:endnote w:type="continuationSeparator" w:id="0">
    <w:p w14:paraId="6F538141" w14:textId="77777777" w:rsidR="00F10AC9" w:rsidRDefault="00F10AC9" w:rsidP="004E0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erFont">
    <w:altName w:val="Calibri"/>
    <w:panose1 w:val="02000506000000020004"/>
    <w:charset w:val="00"/>
    <w:family w:val="auto"/>
    <w:pitch w:val="variable"/>
    <w:sig w:usb0="80000023" w:usb1="00000000" w:usb2="00000000" w:usb3="00000000" w:csb0="00000001" w:csb1="00000000"/>
  </w:font>
  <w:font w:name="Baton Turbo">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620309"/>
      <w:docPartObj>
        <w:docPartGallery w:val="Page Numbers (Bottom of Page)"/>
        <w:docPartUnique/>
      </w:docPartObj>
    </w:sdtPr>
    <w:sdtEndPr/>
    <w:sdtContent>
      <w:p w14:paraId="4930BA2F" w14:textId="77777777" w:rsidR="001656B2" w:rsidRDefault="001656B2">
        <w:pPr>
          <w:pStyle w:val="Sidfot"/>
          <w:jc w:val="right"/>
        </w:pPr>
        <w:r>
          <w:fldChar w:fldCharType="begin"/>
        </w:r>
        <w:r>
          <w:instrText>PAGE   \* MERGEFORMAT</w:instrText>
        </w:r>
        <w:r>
          <w:fldChar w:fldCharType="separate"/>
        </w:r>
        <w:r>
          <w:t>2</w:t>
        </w:r>
        <w:r>
          <w:fldChar w:fldCharType="end"/>
        </w:r>
      </w:p>
    </w:sdtContent>
  </w:sdt>
  <w:p w14:paraId="6D638825" w14:textId="77777777" w:rsidR="001656B2" w:rsidRDefault="00165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79B5" w14:textId="77777777" w:rsidR="00F10AC9" w:rsidRDefault="00F10AC9" w:rsidP="004E0852">
      <w:pPr>
        <w:spacing w:after="0" w:line="240" w:lineRule="auto"/>
      </w:pPr>
      <w:r>
        <w:separator/>
      </w:r>
    </w:p>
  </w:footnote>
  <w:footnote w:type="continuationSeparator" w:id="0">
    <w:p w14:paraId="3C3BA0F1" w14:textId="77777777" w:rsidR="00F10AC9" w:rsidRDefault="00F10AC9" w:rsidP="004E08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866F1"/>
    <w:rsid w:val="000D2971"/>
    <w:rsid w:val="000D5BF4"/>
    <w:rsid w:val="001656B2"/>
    <w:rsid w:val="00192461"/>
    <w:rsid w:val="001F58C4"/>
    <w:rsid w:val="004E0852"/>
    <w:rsid w:val="006445A5"/>
    <w:rsid w:val="00793263"/>
    <w:rsid w:val="0082151C"/>
    <w:rsid w:val="008434C9"/>
    <w:rsid w:val="00935AC1"/>
    <w:rsid w:val="00A21BAB"/>
    <w:rsid w:val="00D06B47"/>
    <w:rsid w:val="00D62ECD"/>
    <w:rsid w:val="00E46264"/>
    <w:rsid w:val="00E56024"/>
    <w:rsid w:val="00F06904"/>
    <w:rsid w:val="00F10AC9"/>
    <w:rsid w:val="00F47F6D"/>
    <w:rsid w:val="00F65CCE"/>
    <w:rsid w:val="00F801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2089C"/>
  <w15:chartTrackingRefBased/>
  <w15:docId w15:val="{B8E9805F-2AC9-4707-83C7-07FBE85C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445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E085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E0852"/>
  </w:style>
  <w:style w:type="paragraph" w:styleId="Sidfot">
    <w:name w:val="footer"/>
    <w:basedOn w:val="Normal"/>
    <w:link w:val="SidfotChar"/>
    <w:uiPriority w:val="99"/>
    <w:unhideWhenUsed/>
    <w:rsid w:val="004E0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E0852"/>
  </w:style>
  <w:style w:type="table" w:styleId="Tabellrutnt">
    <w:name w:val="Table Grid"/>
    <w:basedOn w:val="Normaltabell"/>
    <w:uiPriority w:val="39"/>
    <w:rsid w:val="004E0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Char">
    <w:name w:val="Rubrik Char"/>
    <w:link w:val="Rubrik"/>
    <w:locked/>
    <w:rsid w:val="006445A5"/>
    <w:rPr>
      <w:rFonts w:ascii="CenterFont" w:hAnsi="CenterFont"/>
      <w:sz w:val="44"/>
      <w:szCs w:val="44"/>
    </w:rPr>
  </w:style>
  <w:style w:type="paragraph" w:styleId="Rubrik">
    <w:name w:val="Title"/>
    <w:basedOn w:val="Rubrik1"/>
    <w:next w:val="Normal"/>
    <w:link w:val="RubrikChar"/>
    <w:qFormat/>
    <w:rsid w:val="006445A5"/>
    <w:pPr>
      <w:keepNext w:val="0"/>
      <w:keepLines w:val="0"/>
      <w:spacing w:before="0" w:after="200" w:line="276" w:lineRule="auto"/>
    </w:pPr>
    <w:rPr>
      <w:rFonts w:ascii="CenterFont" w:eastAsiaTheme="minorHAnsi" w:hAnsi="CenterFont" w:cstheme="minorBidi"/>
      <w:color w:val="auto"/>
      <w:sz w:val="44"/>
      <w:szCs w:val="44"/>
    </w:rPr>
  </w:style>
  <w:style w:type="character" w:customStyle="1" w:styleId="RubrikChar1">
    <w:name w:val="Rubrik Char1"/>
    <w:basedOn w:val="Standardstycketeckensnitt"/>
    <w:uiPriority w:val="10"/>
    <w:rsid w:val="006445A5"/>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6445A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473D3-B047-4474-A81F-D176925E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5205</Characters>
  <Application>Microsoft Office Word</Application>
  <DocSecurity>0</DocSecurity>
  <Lines>179</Lines>
  <Paragraphs>134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Kling</dc:creator>
  <cp:keywords/>
  <dc:description/>
  <cp:lastModifiedBy>Olle Romlin</cp:lastModifiedBy>
  <cp:revision>2</cp:revision>
  <dcterms:created xsi:type="dcterms:W3CDTF">2023-10-12T12:21:00Z</dcterms:created>
  <dcterms:modified xsi:type="dcterms:W3CDTF">2023-10-12T12:21:00Z</dcterms:modified>
</cp:coreProperties>
</file>