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A4" w:rsidRPr="00AF61A4" w:rsidRDefault="00AF61A4" w:rsidP="00AF61A4">
      <w:pPr>
        <w:autoSpaceDE w:val="0"/>
        <w:autoSpaceDN w:val="0"/>
        <w:adjustRightInd w:val="0"/>
        <w:spacing w:after="40"/>
        <w:rPr>
          <w:rFonts w:ascii="Verdana" w:hAnsi="Verdana" w:cs="Helvetica Neue"/>
          <w:b/>
          <w:bCs/>
          <w:sz w:val="20"/>
          <w:szCs w:val="20"/>
        </w:rPr>
      </w:pPr>
      <w:r w:rsidRPr="00AF61A4">
        <w:rPr>
          <w:rFonts w:ascii="Verdana" w:hAnsi="Verdana" w:cs="Helvetica Neue"/>
          <w:b/>
          <w:bCs/>
          <w:sz w:val="20"/>
          <w:szCs w:val="20"/>
        </w:rPr>
        <w:t>Socialförsäkringar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i/>
          <w:iCs/>
          <w:sz w:val="20"/>
          <w:szCs w:val="20"/>
        </w:rPr>
        <w:t>#272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 xml:space="preserve">Inskickad av: Thomas </w:t>
      </w:r>
      <w:proofErr w:type="spellStart"/>
      <w:r w:rsidRPr="00AF61A4">
        <w:rPr>
          <w:rFonts w:ascii="Verdana" w:hAnsi="Verdana" w:cs="Helvetica Neue"/>
          <w:sz w:val="20"/>
          <w:szCs w:val="20"/>
        </w:rPr>
        <w:t>Wihlman</w:t>
      </w:r>
      <w:proofErr w:type="spellEnd"/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Motionär: Kent Ivarsson, Bengt Ericsson, Eva-Britt Sandlund, Karin Halldin (Stockholms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 xml:space="preserve">län), Christina Linderholm, Magnus Eriksson, Catharina Mann, Göran </w:t>
      </w:r>
      <w:proofErr w:type="spellStart"/>
      <w:r w:rsidRPr="00AF61A4">
        <w:rPr>
          <w:rFonts w:ascii="Verdana" w:hAnsi="Verdana" w:cs="Helvetica Neue"/>
          <w:sz w:val="20"/>
          <w:szCs w:val="20"/>
        </w:rPr>
        <w:t>Råsmar</w:t>
      </w:r>
      <w:proofErr w:type="spellEnd"/>
      <w:r w:rsidRPr="00AF61A4">
        <w:rPr>
          <w:rFonts w:ascii="Verdana" w:hAnsi="Verdana" w:cs="Helvetica Neue"/>
          <w:sz w:val="20"/>
          <w:szCs w:val="20"/>
        </w:rPr>
        <w:t>, Thomas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proofErr w:type="spellStart"/>
      <w:r w:rsidRPr="00AF61A4">
        <w:rPr>
          <w:rFonts w:ascii="Verdana" w:hAnsi="Verdana" w:cs="Helvetica Neue"/>
          <w:sz w:val="20"/>
          <w:szCs w:val="20"/>
        </w:rPr>
        <w:t>Wihlman</w:t>
      </w:r>
      <w:proofErr w:type="spellEnd"/>
      <w:r w:rsidRPr="00AF61A4">
        <w:rPr>
          <w:rFonts w:ascii="Verdana" w:hAnsi="Verdana" w:cs="Helvetica Neue"/>
          <w:sz w:val="20"/>
          <w:szCs w:val="20"/>
        </w:rPr>
        <w:t xml:space="preserve"> (Stockholms stad).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Förbättra översikten över våra pensioner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För att kunna göra valet om när man önskar gå i pension måste man kunna bilda sig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en uppfattning om hur den ekonomiska situationen kommer att se ut som pensionär.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Dagens pensionssystem är komplicerat och många såväl yngre som äldre har en dålig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kunskap om hur framför allt tjänstepension fungerar. Under ett långt arbetsliv har de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flesta bytt arbetsgivare ett antal gången. Det innebär då ofta att man också byter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avtalsområde. Olikheterna är stora mellan olika kollektivavtalsområden inom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tjänstepensionssystemet. För att kunna följa sin blivande pension har man utvecklat den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webbaserade plattformen Minpension.se. Här har man en möjlighet att få en överblick av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sin kommande pension och göra individuella prognoser. Några månader innan man fyller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67 år får man ett brev från sin/sina arbetsgivare där man får information om hur stor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tjänstepensionen är och en fråga om hur man önskar få den utbetald. Om man önskar den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informationen innan den dagen, är man hänvisad till det som eventuellt finns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inrapporterat till Minpension.se. Flera av tjänstepensionsbolagen väljer att inte rapportera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in uppgifterna före det året man fyllt 65 eller 67 år, vilket gör det omöjligt att göra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individuella prognoser för att se det totala pensionskapitalet, för både den allmänna och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tjänstepensionen. Inte minst viktigt för de yngre pensionsspararna. Då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tjänstepensionen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utgör en allt större del av den totala pensionen, är denna information nödvändig för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planeringen av en flexibel pensionering.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Jag/vi föreslår partistämman besluta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F61A4">
        <w:rPr>
          <w:rFonts w:ascii="Verdana" w:hAnsi="Verdana" w:cs="Helvetica Neue"/>
          <w:b/>
          <w:bCs/>
          <w:sz w:val="20"/>
          <w:szCs w:val="20"/>
        </w:rPr>
        <w:t>Att den webbaserade plattformen Minpension.se, utvecklas så att all intjänad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F61A4">
        <w:rPr>
          <w:rFonts w:ascii="Verdana" w:hAnsi="Verdana" w:cs="Helvetica Neue"/>
          <w:b/>
          <w:bCs/>
          <w:sz w:val="20"/>
          <w:szCs w:val="20"/>
        </w:rPr>
        <w:t xml:space="preserve">pension, allmän- som </w:t>
      </w:r>
      <w:proofErr w:type="spellStart"/>
      <w:r w:rsidRPr="00AF61A4">
        <w:rPr>
          <w:rFonts w:ascii="Verdana" w:hAnsi="Verdana" w:cs="Helvetica Neue"/>
          <w:b/>
          <w:bCs/>
          <w:sz w:val="20"/>
          <w:szCs w:val="20"/>
        </w:rPr>
        <w:t>tjänstepansion</w:t>
      </w:r>
      <w:proofErr w:type="spellEnd"/>
      <w:r w:rsidRPr="00AF61A4">
        <w:rPr>
          <w:rFonts w:ascii="Verdana" w:hAnsi="Verdana" w:cs="Helvetica Neue"/>
          <w:b/>
          <w:bCs/>
          <w:sz w:val="20"/>
          <w:szCs w:val="20"/>
        </w:rPr>
        <w:t>, placerade i olika tjänstepensionsbolag, samlas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AF61A4">
        <w:rPr>
          <w:rFonts w:ascii="Verdana" w:hAnsi="Verdana" w:cs="Helvetica Neue"/>
          <w:b/>
          <w:bCs/>
          <w:sz w:val="20"/>
          <w:szCs w:val="20"/>
        </w:rPr>
        <w:t>och ge en total bild av den intjänade pensionen.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F61A4" w:rsidRPr="00AF61A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F61A4" w:rsidRPr="00AF61A4" w:rsidRDefault="00AF61A4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F61A4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F61A4" w:rsidRPr="00AF61A4" w:rsidRDefault="00AF61A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F61A4">
              <w:rPr>
                <w:rFonts w:ascii="Verdana" w:hAnsi="Verdana" w:cs="Helvetica Neue"/>
                <w:sz w:val="20"/>
                <w:szCs w:val="20"/>
              </w:rPr>
              <w:t xml:space="preserve">Att den webbaserade plattformen Minpension.se, utvecklas så att all intjänad pension, allmän- som </w:t>
            </w:r>
            <w:proofErr w:type="spellStart"/>
            <w:r w:rsidRPr="00AF61A4">
              <w:rPr>
                <w:rFonts w:ascii="Verdana" w:hAnsi="Verdana" w:cs="Helvetica Neue"/>
                <w:sz w:val="20"/>
                <w:szCs w:val="20"/>
              </w:rPr>
              <w:t>tjänstepansion</w:t>
            </w:r>
            <w:proofErr w:type="spellEnd"/>
            <w:r w:rsidRPr="00AF61A4">
              <w:rPr>
                <w:rFonts w:ascii="Verdana" w:hAnsi="Verdana" w:cs="Helvetica Neue"/>
                <w:sz w:val="20"/>
                <w:szCs w:val="20"/>
              </w:rPr>
              <w:t>, placerade i olika tjänstepensionsbolag, samlas och ge en total bild av den intjänade pensionen.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F61A4" w:rsidRPr="00AF61A4" w:rsidRDefault="00AF61A4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F61A4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F61A4" w:rsidRDefault="00AF61A4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i/>
          <w:iCs/>
          <w:sz w:val="20"/>
          <w:szCs w:val="20"/>
        </w:rPr>
        <w:lastRenderedPageBreak/>
        <w:t>#275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 xml:space="preserve">Inskickad av: Thomas </w:t>
      </w:r>
      <w:proofErr w:type="spellStart"/>
      <w:r w:rsidRPr="00AF61A4">
        <w:rPr>
          <w:rFonts w:ascii="Verdana" w:hAnsi="Verdana" w:cs="Helvetica Neue"/>
          <w:sz w:val="20"/>
          <w:szCs w:val="20"/>
        </w:rPr>
        <w:t>Wihlman</w:t>
      </w:r>
      <w:proofErr w:type="spellEnd"/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Motionär: Kent Ivarsson, Bengt Ericsson, Eva-Britt Sandlund, Karin Halldin (Stockholms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 xml:space="preserve">län), Christina Linderholm, Magnus Eriksson, Catharina Mann, Göran </w:t>
      </w:r>
      <w:proofErr w:type="spellStart"/>
      <w:r w:rsidRPr="00AF61A4">
        <w:rPr>
          <w:rFonts w:ascii="Verdana" w:hAnsi="Verdana" w:cs="Helvetica Neue"/>
          <w:sz w:val="20"/>
          <w:szCs w:val="20"/>
        </w:rPr>
        <w:t>Råsmar</w:t>
      </w:r>
      <w:proofErr w:type="spellEnd"/>
      <w:r w:rsidRPr="00AF61A4">
        <w:rPr>
          <w:rFonts w:ascii="Verdana" w:hAnsi="Verdana" w:cs="Helvetica Neue"/>
          <w:sz w:val="20"/>
          <w:szCs w:val="20"/>
        </w:rPr>
        <w:t>, Thomas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proofErr w:type="spellStart"/>
      <w:r w:rsidRPr="00AF61A4">
        <w:rPr>
          <w:rFonts w:ascii="Verdana" w:hAnsi="Verdana" w:cs="Helvetica Neue"/>
          <w:sz w:val="20"/>
          <w:szCs w:val="20"/>
        </w:rPr>
        <w:t>Wihlman</w:t>
      </w:r>
      <w:proofErr w:type="spellEnd"/>
      <w:r w:rsidRPr="00AF61A4">
        <w:rPr>
          <w:rFonts w:ascii="Verdana" w:hAnsi="Verdana" w:cs="Helvetica Neue"/>
          <w:sz w:val="20"/>
          <w:szCs w:val="20"/>
        </w:rPr>
        <w:t xml:space="preserve"> (Stockholms stad).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Motion om ett hållbart pensionssystem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Efter 20 år är det dags att se över pensionssystemet i sin helhet. Enligt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pensionsmyndigheten har 245 000 personer över 65 i dag (2018) en relativt låg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ekonomisk standard. Alltför många människor har ofta svårt att få pengarna att räcka till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grundläggande behov. Systemskiftet från ATP till det nuvarande systemet har medfört att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så många gått i pension med mycket låg pension. Det system som är finansiellt hållbart ur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statens synvinkel är inte stabilt ur den enskildes. Samtidigt som vissa dellösningar nu är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på väg för att förbättra för seniorer med låg ekonomisk standard måste en ordentlig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utvärdering påbörjas av pensionssystemet i sin helhet. Målet måste vara att under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kommande mandatperiod besluta om ett långsiktigt hållbart system, stabilt för både staten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och den enskilde, som ger en pension som går att leva på. Inom ramen för ett reformert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pensionssystem måste hänsyn tas till möjligheten både att arbeta längre och att ha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möjlighet till pension när orken tryter. Översynen måste gälla samtliga delar av systemet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såsom grundskyddet, arbetsgivaravgiften, det krångliga regelsystemet kring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inkomstpensionen, bromsen, mm. En viktig del i översynen av pensionssystemet måste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vara ökad öppenhet i arbetet. Möjligheten till dialog och debatt kring olika förslag bör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F61A4">
        <w:rPr>
          <w:rFonts w:ascii="Verdana" w:hAnsi="Verdana" w:cs="Helvetica Neue"/>
          <w:sz w:val="20"/>
          <w:szCs w:val="20"/>
        </w:rPr>
        <w:t>förbättras med en bred samhällsdebatt. Medborgarnas förståelse för och kunskap om</w:t>
      </w:r>
      <w:r>
        <w:rPr>
          <w:rFonts w:ascii="Verdana" w:hAnsi="Verdana" w:cs="Helvetica Neue"/>
          <w:sz w:val="20"/>
          <w:szCs w:val="20"/>
        </w:rPr>
        <w:t xml:space="preserve"> </w:t>
      </w:r>
      <w:bookmarkStart w:id="0" w:name="_GoBack"/>
      <w:bookmarkEnd w:id="0"/>
      <w:r w:rsidRPr="00AF61A4">
        <w:rPr>
          <w:rFonts w:ascii="Verdana" w:hAnsi="Verdana" w:cs="Helvetica Neue"/>
          <w:sz w:val="20"/>
          <w:szCs w:val="20"/>
        </w:rPr>
        <w:t>pensionssystemet måste bli bättre.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Jag/vi föreslår partistämman besluta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F61A4">
        <w:rPr>
          <w:rFonts w:ascii="Verdana" w:hAnsi="Verdana" w:cs="Helvetica Neue"/>
          <w:b/>
          <w:bCs/>
          <w:sz w:val="20"/>
          <w:szCs w:val="20"/>
        </w:rPr>
        <w:t>att Centerpartiet initierar en genomgripande översyn av pensionssystemet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b/>
          <w:bCs/>
          <w:sz w:val="20"/>
          <w:szCs w:val="20"/>
        </w:rPr>
        <w:t>att översynen sker öppet för ökad kunskap och insikt om dess konsekvenser</w:t>
      </w: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F61A4" w:rsidRPr="00AF61A4" w:rsidRDefault="00AF61A4" w:rsidP="00AF61A4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F61A4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F61A4" w:rsidRPr="00AF61A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F61A4" w:rsidRPr="00AF61A4" w:rsidRDefault="00AF61A4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F61A4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F61A4" w:rsidRPr="00AF61A4" w:rsidRDefault="00AF61A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F61A4">
              <w:rPr>
                <w:rFonts w:ascii="Verdana" w:hAnsi="Verdana" w:cs="Helvetica Neue"/>
                <w:sz w:val="20"/>
                <w:szCs w:val="20"/>
              </w:rPr>
              <w:t>att Centerpartiet initierar en genomgripande översyn av pensionssystemet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F61A4" w:rsidRPr="00AF61A4" w:rsidRDefault="00AF61A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F61A4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AF61A4" w:rsidRPr="00AF61A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F61A4" w:rsidRPr="00AF61A4" w:rsidRDefault="00AF61A4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F61A4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F61A4" w:rsidRPr="00AF61A4" w:rsidRDefault="00AF61A4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F61A4">
              <w:rPr>
                <w:rFonts w:ascii="Verdana" w:hAnsi="Verdana" w:cs="Helvetica Neue"/>
                <w:sz w:val="20"/>
                <w:szCs w:val="20"/>
              </w:rPr>
              <w:t>att översynen sker öppet för ökad kunskap och insikt om dess konsekvenser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F61A4" w:rsidRPr="00AF61A4" w:rsidRDefault="00AF61A4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F61A4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BF6065" w:rsidRDefault="00BF6065"/>
    <w:sectPr w:rsidR="00BF6065" w:rsidSect="009E09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A4"/>
    <w:rsid w:val="009E09BD"/>
    <w:rsid w:val="00AF61A4"/>
    <w:rsid w:val="00B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6FC0"/>
  <w15:chartTrackingRefBased/>
  <w15:docId w15:val="{B52477C9-B8A2-8247-81D1-7506241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1</cp:revision>
  <dcterms:created xsi:type="dcterms:W3CDTF">2019-06-19T15:34:00Z</dcterms:created>
  <dcterms:modified xsi:type="dcterms:W3CDTF">2019-06-19T15:36:00Z</dcterms:modified>
</cp:coreProperties>
</file>