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8" w:type="dxa"/>
        <w:tblInd w:w="28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2178"/>
        <w:gridCol w:w="1791"/>
        <w:gridCol w:w="1964"/>
        <w:gridCol w:w="1251"/>
      </w:tblGrid>
      <w:tr w:rsidR="009969B2" w:rsidRPr="00951B63" w:rsidTr="00F436F5">
        <w:trPr>
          <w:cantSplit/>
          <w:trHeight w:val="418"/>
        </w:trPr>
        <w:tc>
          <w:tcPr>
            <w:tcW w:w="4872" w:type="dxa"/>
            <w:gridSpan w:val="2"/>
            <w:vMerge w:val="restart"/>
          </w:tcPr>
          <w:p w:rsidR="009969B2" w:rsidRPr="00951B63" w:rsidRDefault="001A7C87" w:rsidP="00AC3768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7DC35C77" wp14:editId="7DC35C78">
                  <wp:extent cx="1526540" cy="548640"/>
                  <wp:effectExtent l="0" t="0" r="0" b="0"/>
                  <wp:docPr id="21" name="Bild 21" descr="Skellefteå kom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kellefteå kom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61F69" w:rsidRPr="00AC3768" w:rsidRDefault="00F85ADD" w:rsidP="00FC1125">
            <w:pPr>
              <w:pStyle w:val="Brdtext"/>
              <w:spacing w:before="40"/>
              <w:rPr>
                <w:b/>
                <w:bCs/>
              </w:rPr>
            </w:pPr>
            <w:r w:rsidRPr="00DF3CAD">
              <w:rPr>
                <w:b/>
                <w:bCs/>
              </w:rPr>
              <w:t>Kommunfullmäktige</w:t>
            </w:r>
          </w:p>
        </w:tc>
        <w:tc>
          <w:tcPr>
            <w:tcW w:w="3755" w:type="dxa"/>
            <w:gridSpan w:val="2"/>
            <w:vAlign w:val="bottom"/>
          </w:tcPr>
          <w:p w:rsidR="009969B2" w:rsidRPr="00951B63" w:rsidRDefault="009969B2" w:rsidP="00951B63">
            <w:pPr>
              <w:pStyle w:val="Sidhuvud"/>
              <w:rPr>
                <w:b/>
                <w:bCs/>
                <w:caps/>
              </w:rPr>
            </w:pPr>
          </w:p>
        </w:tc>
        <w:tc>
          <w:tcPr>
            <w:tcW w:w="1251" w:type="dxa"/>
            <w:vAlign w:val="bottom"/>
          </w:tcPr>
          <w:p w:rsidR="009969B2" w:rsidRPr="00951B63" w:rsidRDefault="009969B2" w:rsidP="00A80BB2">
            <w:pPr>
              <w:pStyle w:val="Sidhuvud"/>
            </w:pPr>
          </w:p>
        </w:tc>
      </w:tr>
      <w:tr w:rsidR="006868B6" w:rsidRPr="00951B63" w:rsidTr="001A7C87">
        <w:trPr>
          <w:cantSplit/>
          <w:trHeight w:val="247"/>
        </w:trPr>
        <w:tc>
          <w:tcPr>
            <w:tcW w:w="4872" w:type="dxa"/>
            <w:gridSpan w:val="2"/>
            <w:vMerge/>
          </w:tcPr>
          <w:p w:rsidR="006868B6" w:rsidRPr="00951B63" w:rsidRDefault="006868B6" w:rsidP="00A80BB2">
            <w:pPr>
              <w:pStyle w:val="Tabellinnehll"/>
            </w:pPr>
          </w:p>
        </w:tc>
        <w:tc>
          <w:tcPr>
            <w:tcW w:w="1791" w:type="dxa"/>
          </w:tcPr>
          <w:p w:rsidR="006868B6" w:rsidRPr="00951B63" w:rsidRDefault="006868B6" w:rsidP="0033076D">
            <w:pPr>
              <w:pStyle w:val="Sidhuvudledtext"/>
            </w:pPr>
          </w:p>
        </w:tc>
        <w:tc>
          <w:tcPr>
            <w:tcW w:w="3215" w:type="dxa"/>
            <w:gridSpan w:val="2"/>
          </w:tcPr>
          <w:p w:rsidR="006868B6" w:rsidRDefault="006868B6" w:rsidP="005F6006">
            <w:pPr>
              <w:pStyle w:val="Sidhuvud"/>
            </w:pPr>
          </w:p>
          <w:p w:rsidR="00F436F5" w:rsidRDefault="00F436F5" w:rsidP="005F6006">
            <w:pPr>
              <w:pStyle w:val="Sidhuvud"/>
            </w:pPr>
          </w:p>
          <w:p w:rsidR="00F436F5" w:rsidRPr="00F436F5" w:rsidRDefault="00F436F5" w:rsidP="005F6006">
            <w:pPr>
              <w:pStyle w:val="Sidhuvud"/>
              <w:rPr>
                <w:rFonts w:ascii="Times New Roman" w:hAnsi="Times New Roman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z w:val="28"/>
                <w:szCs w:val="28"/>
              </w:rPr>
              <w:t>allelse</w:t>
            </w:r>
            <w:r w:rsidR="001A7C87">
              <w:rPr>
                <w:b/>
                <w:sz w:val="28"/>
                <w:szCs w:val="28"/>
              </w:rPr>
              <w:t>/underrättelse</w:t>
            </w:r>
          </w:p>
        </w:tc>
      </w:tr>
      <w:tr w:rsidR="00F436F5" w:rsidRPr="00951B63" w:rsidTr="00F436F5">
        <w:trPr>
          <w:cantSplit/>
          <w:trHeight w:val="247"/>
        </w:trPr>
        <w:tc>
          <w:tcPr>
            <w:tcW w:w="2694" w:type="dxa"/>
          </w:tcPr>
          <w:p w:rsidR="00F436F5" w:rsidRDefault="00F436F5" w:rsidP="003567CD">
            <w:pPr>
              <w:pStyle w:val="Tabellrubrik"/>
            </w:pPr>
            <w:r w:rsidRPr="00F436F5">
              <w:t xml:space="preserve">Tid och plats för </w:t>
            </w:r>
          </w:p>
          <w:p w:rsidR="00F436F5" w:rsidRPr="00F436F5" w:rsidRDefault="00F436F5" w:rsidP="003567CD">
            <w:pPr>
              <w:pStyle w:val="Tabellrubrik"/>
            </w:pPr>
            <w:r w:rsidRPr="00F436F5">
              <w:t>sammanträde</w:t>
            </w:r>
          </w:p>
        </w:tc>
        <w:tc>
          <w:tcPr>
            <w:tcW w:w="7184" w:type="dxa"/>
            <w:gridSpan w:val="4"/>
          </w:tcPr>
          <w:p w:rsidR="00F436F5" w:rsidRPr="003567CD" w:rsidRDefault="00F85ADD" w:rsidP="00DC20D1">
            <w:pPr>
              <w:pStyle w:val="Tabellinnehll"/>
            </w:pPr>
            <w:r>
              <w:t>tisdag</w:t>
            </w:r>
            <w:r w:rsidR="00F436F5" w:rsidRPr="00F436F5">
              <w:t xml:space="preserve">en den </w:t>
            </w:r>
            <w:r>
              <w:t>15 september 2020</w:t>
            </w:r>
            <w:r w:rsidR="00F436F5" w:rsidRPr="00F436F5">
              <w:t xml:space="preserve"> kl. </w:t>
            </w:r>
            <w:r w:rsidRPr="00DF3CAD">
              <w:t>09:00</w:t>
            </w:r>
            <w:r w:rsidR="00C16AF0">
              <w:br/>
            </w:r>
            <w:r w:rsidRPr="00DF3CAD">
              <w:rPr>
                <w:szCs w:val="24"/>
              </w:rPr>
              <w:t>Forumsalen, Campus Skellefteå</w:t>
            </w:r>
          </w:p>
        </w:tc>
      </w:tr>
    </w:tbl>
    <w:p w:rsidR="009800FC" w:rsidRDefault="009800FC" w:rsidP="006D7113">
      <w:pPr>
        <w:pStyle w:val="Brdtext"/>
        <w:spacing w:after="360"/>
      </w:pP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94726" w:rsidTr="0041785E">
        <w:tc>
          <w:tcPr>
            <w:tcW w:w="9606" w:type="dxa"/>
            <w:shd w:val="clear" w:color="auto" w:fill="E2EFD9" w:themeFill="accent6" w:themeFillTint="33"/>
          </w:tcPr>
          <w:p w:rsidR="00894726" w:rsidRPr="00F14860" w:rsidRDefault="00894726" w:rsidP="0041785E">
            <w:pPr>
              <w:pStyle w:val="Tabellinnehll"/>
            </w:pPr>
          </w:p>
          <w:p w:rsidR="00894726" w:rsidRDefault="00894726" w:rsidP="0041785E">
            <w:pPr>
              <w:pStyle w:val="Tabellinnehll"/>
              <w:rPr>
                <w:b/>
                <w:bCs/>
              </w:rPr>
            </w:pPr>
            <w:r w:rsidRPr="00F14860">
              <w:rPr>
                <w:b/>
              </w:rPr>
              <w:t>Teckenspråkstolkning</w:t>
            </w:r>
            <w:r w:rsidRPr="00F14860">
              <w:t xml:space="preserve"> av punkterna</w:t>
            </w:r>
            <w:r>
              <w:t xml:space="preserve"> </w:t>
            </w:r>
            <w:r w:rsidR="00434DEC">
              <w:t>3-6</w:t>
            </w:r>
            <w:r>
              <w:t xml:space="preserve"> med början cirka </w:t>
            </w:r>
            <w:r w:rsidR="00434DEC">
              <w:rPr>
                <w:b/>
                <w:bCs/>
              </w:rPr>
              <w:t>klockan 09.00</w:t>
            </w:r>
          </w:p>
          <w:p w:rsidR="00434DEC" w:rsidRDefault="00434DEC" w:rsidP="0041785E">
            <w:pPr>
              <w:pStyle w:val="Tabellinnehll"/>
              <w:rPr>
                <w:b/>
                <w:bCs/>
              </w:rPr>
            </w:pPr>
          </w:p>
          <w:p w:rsidR="00434DEC" w:rsidRPr="00434DEC" w:rsidRDefault="00434DEC" w:rsidP="0041785E">
            <w:pPr>
              <w:pStyle w:val="Tabellinnehll"/>
            </w:pPr>
            <w:r>
              <w:rPr>
                <w:b/>
                <w:bCs/>
              </w:rPr>
              <w:t xml:space="preserve">Information: </w:t>
            </w:r>
            <w:r>
              <w:t>Punkterna 34-35</w:t>
            </w:r>
            <w:proofErr w:type="gramStart"/>
            <w:r>
              <w:t xml:space="preserve"> (fyllnadsval av revisor, fyllnadsval av lekmannarevisor </w:t>
            </w:r>
            <w:r>
              <w:br/>
            </w:r>
            <w:r w:rsidRPr="00434DEC">
              <w:rPr>
                <w:b/>
                <w:bCs/>
              </w:rPr>
              <w:t xml:space="preserve">behandlas </w:t>
            </w:r>
            <w:proofErr w:type="spellStart"/>
            <w:r w:rsidRPr="00434DEC">
              <w:rPr>
                <w:b/>
                <w:bCs/>
              </w:rPr>
              <w:t>kl</w:t>
            </w:r>
            <w:proofErr w:type="spellEnd"/>
            <w:r w:rsidRPr="00434DEC">
              <w:rPr>
                <w:b/>
                <w:bCs/>
              </w:rPr>
              <w:t xml:space="preserve"> 16.00</w:t>
            </w:r>
            <w:proofErr w:type="gramEnd"/>
          </w:p>
          <w:p w:rsidR="00894726" w:rsidRDefault="00894726" w:rsidP="0041785E">
            <w:pPr>
              <w:pStyle w:val="Tabellinnehll"/>
            </w:pPr>
          </w:p>
        </w:tc>
      </w:tr>
    </w:tbl>
    <w:p w:rsidR="00894726" w:rsidRDefault="00894726" w:rsidP="00894726">
      <w:pPr>
        <w:pStyle w:val="Brdtext"/>
        <w:spacing w:after="360"/>
      </w:pPr>
    </w:p>
    <w:p w:rsidR="006868B6" w:rsidRPr="00F436F5" w:rsidRDefault="006868B6" w:rsidP="00AC3768">
      <w:pPr>
        <w:pStyle w:val="Rubrik1"/>
      </w:pPr>
      <w:r w:rsidRPr="00AC3768">
        <w:t>Föredragningslista</w:t>
      </w:r>
    </w:p>
    <w:tbl>
      <w:tblPr>
        <w:tblW w:w="9781" w:type="dxa"/>
        <w:tblLayout w:type="fixed"/>
        <w:tblCellMar>
          <w:left w:w="70" w:type="dxa"/>
          <w:bottom w:w="24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521"/>
        <w:gridCol w:w="1260"/>
        <w:gridCol w:w="1221"/>
      </w:tblGrid>
      <w:tr w:rsidR="00C16AF0" w:rsidRPr="00853261" w:rsidTr="00E9754A">
        <w:trPr>
          <w:cantSplit/>
          <w:trHeight w:hRule="exact" w:val="285"/>
          <w:tblHeader/>
        </w:trPr>
        <w:tc>
          <w:tcPr>
            <w:tcW w:w="779" w:type="dxa"/>
          </w:tcPr>
          <w:p w:rsidR="00C16AF0" w:rsidRPr="00F436F5" w:rsidRDefault="00C16AF0" w:rsidP="00D63E8F">
            <w:pPr>
              <w:pStyle w:val="Tabellrubri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16AF0" w:rsidRPr="00F436F5" w:rsidRDefault="00C16AF0" w:rsidP="00AC3768">
            <w:pPr>
              <w:pStyle w:val="Tabellrubrik"/>
            </w:pPr>
            <w:r w:rsidRPr="00AC3768">
              <w:t>Ärende</w:t>
            </w:r>
          </w:p>
        </w:tc>
        <w:tc>
          <w:tcPr>
            <w:tcW w:w="1260" w:type="dxa"/>
          </w:tcPr>
          <w:p w:rsidR="00C16AF0" w:rsidRPr="00E9754A" w:rsidRDefault="00C16AF0" w:rsidP="00AC3768">
            <w:pPr>
              <w:pStyle w:val="Tabellrubrik"/>
            </w:pPr>
          </w:p>
        </w:tc>
        <w:tc>
          <w:tcPr>
            <w:tcW w:w="1221" w:type="dxa"/>
          </w:tcPr>
          <w:p w:rsidR="00C16AF0" w:rsidRPr="00AC3768" w:rsidRDefault="001A7C87" w:rsidP="00AC3768">
            <w:pPr>
              <w:pStyle w:val="Tabellrubrik"/>
            </w:pPr>
            <w:r w:rsidRPr="00E9754A">
              <w:t>sida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Protokollets justering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F85ADD" w:rsidP="003377A5">
            <w:pPr>
              <w:pStyle w:val="Tabellinnehll"/>
            </w:pP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BE788A" w:rsidP="003377A5">
            <w:pPr>
              <w:pStyle w:val="Tabellinnehll"/>
            </w:pPr>
            <w:r w:rsidRPr="00DF3CAD">
              <w:t xml:space="preserve">Revisorerna har ordet </w:t>
            </w:r>
            <w:r w:rsidR="00F85ADD"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F85ADD" w:rsidP="003377A5">
            <w:pPr>
              <w:pStyle w:val="Tabellinnehll"/>
            </w:pPr>
          </w:p>
        </w:tc>
      </w:tr>
      <w:tr w:rsidR="00540DD8" w:rsidRPr="00853261" w:rsidTr="003377A5">
        <w:trPr>
          <w:cantSplit/>
          <w:trHeight w:val="660"/>
        </w:trPr>
        <w:tc>
          <w:tcPr>
            <w:tcW w:w="779" w:type="dxa"/>
          </w:tcPr>
          <w:p w:rsidR="00540DD8" w:rsidRPr="0098231B" w:rsidRDefault="00540DD8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540DD8" w:rsidRPr="00DF3CAD" w:rsidRDefault="00540DD8" w:rsidP="003377A5">
            <w:pPr>
              <w:pStyle w:val="Tabellinnehll"/>
            </w:pPr>
            <w:r w:rsidRPr="00540DD8">
              <w:t>Interpellation av Carina Sundbom (C) om att ny ramtid och ny busstidtabell ger långa väntetider för gymnasieungdomar (33/20)</w:t>
            </w:r>
            <w:r w:rsidR="00434DEC">
              <w:br/>
            </w:r>
            <w:r w:rsidR="00434DEC" w:rsidRPr="00152D55">
              <w:rPr>
                <w:b/>
              </w:rPr>
              <w:t>(teckenspråkstolkas)</w:t>
            </w:r>
          </w:p>
        </w:tc>
        <w:tc>
          <w:tcPr>
            <w:tcW w:w="1260" w:type="dxa"/>
          </w:tcPr>
          <w:p w:rsidR="00540DD8" w:rsidRPr="00AC3768" w:rsidRDefault="00540DD8" w:rsidP="003377A5">
            <w:pPr>
              <w:pStyle w:val="Tabellinnehll"/>
            </w:pPr>
          </w:p>
        </w:tc>
        <w:tc>
          <w:tcPr>
            <w:tcW w:w="1221" w:type="dxa"/>
          </w:tcPr>
          <w:p w:rsidR="00540DD8" w:rsidRDefault="00240E47" w:rsidP="003377A5">
            <w:pPr>
              <w:pStyle w:val="Tabellinnehll"/>
            </w:pPr>
            <w:r>
              <w:t>1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Fördjupad översiktsplan för havsområdet inom Skellefteå kommun, antagande</w:t>
            </w:r>
            <w:r w:rsidR="00BE6A23">
              <w:br/>
            </w:r>
            <w:r w:rsidR="00BE6A23" w:rsidRPr="00152D55">
              <w:rPr>
                <w:b/>
              </w:rPr>
              <w:t>(teckenspråkstolkas)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2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BE6A23">
            <w:pPr>
              <w:pStyle w:val="Tabellinnehll"/>
            </w:pPr>
            <w:r w:rsidRPr="00DF3CAD">
              <w:t>Detaljplan för Bureå 21:35 inom serviceorten Bureå, antagande</w:t>
            </w:r>
            <w:r w:rsidR="00BE6A23">
              <w:br/>
            </w:r>
            <w:r w:rsidR="00BE6A23" w:rsidRPr="00152D55">
              <w:rPr>
                <w:b/>
              </w:rPr>
              <w:t>(teckenspråkstolkas)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98</w:t>
            </w:r>
          </w:p>
        </w:tc>
      </w:tr>
      <w:tr w:rsidR="00A30F43" w:rsidRPr="00853261" w:rsidTr="003377A5">
        <w:trPr>
          <w:cantSplit/>
          <w:trHeight w:val="660"/>
        </w:trPr>
        <w:tc>
          <w:tcPr>
            <w:tcW w:w="779" w:type="dxa"/>
          </w:tcPr>
          <w:p w:rsidR="00A30F43" w:rsidRPr="0098231B" w:rsidRDefault="00A30F43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A30F43" w:rsidRDefault="00A30F43" w:rsidP="003377A5">
            <w:pPr>
              <w:pStyle w:val="Tabellinnehll"/>
            </w:pPr>
            <w:r w:rsidRPr="00A30F43">
              <w:t xml:space="preserve">Trafiklösning för Klockarbergsvägen </w:t>
            </w:r>
            <w:r w:rsidR="00BE6A23">
              <w:t>–</w:t>
            </w:r>
            <w:r w:rsidRPr="00A30F43">
              <w:t xml:space="preserve"> Jägarvägen</w:t>
            </w:r>
          </w:p>
          <w:p w:rsidR="00BE6A23" w:rsidRPr="00DF3CAD" w:rsidRDefault="00BE6A23" w:rsidP="003377A5">
            <w:pPr>
              <w:pStyle w:val="Tabellinnehll"/>
            </w:pPr>
            <w:r w:rsidRPr="00152D55">
              <w:rPr>
                <w:b/>
              </w:rPr>
              <w:t>(teckenspråkstolkas)</w:t>
            </w:r>
          </w:p>
        </w:tc>
        <w:tc>
          <w:tcPr>
            <w:tcW w:w="1260" w:type="dxa"/>
          </w:tcPr>
          <w:p w:rsidR="00A30F43" w:rsidRPr="00AC3768" w:rsidRDefault="00A30F43" w:rsidP="003377A5">
            <w:pPr>
              <w:pStyle w:val="Tabellinnehll"/>
            </w:pPr>
          </w:p>
        </w:tc>
        <w:tc>
          <w:tcPr>
            <w:tcW w:w="1221" w:type="dxa"/>
          </w:tcPr>
          <w:p w:rsidR="00A30F43" w:rsidRDefault="00240E47" w:rsidP="003377A5">
            <w:pPr>
              <w:pStyle w:val="Tabellinnehll"/>
            </w:pPr>
            <w:r>
              <w:t>117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Förlängning av 2020 års övergripande mål samt målen för respektive nämnd 2020 att även gälla 2021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181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 xml:space="preserve">Godkännande av reinvestering i </w:t>
            </w:r>
            <w:proofErr w:type="spellStart"/>
            <w:r w:rsidRPr="00DF3CAD">
              <w:t>Sällsjö</w:t>
            </w:r>
            <w:proofErr w:type="spellEnd"/>
            <w:r w:rsidRPr="00DF3CAD">
              <w:t xml:space="preserve"> kraftverk, Skellefteå Kraft AB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182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Sammanträdesplan 202</w:t>
            </w:r>
            <w:r w:rsidR="000E4D8E">
              <w:t>1</w:t>
            </w:r>
            <w:r w:rsidRPr="00DF3CAD">
              <w:t xml:space="preserve"> för kommunfullmäktige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193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Begäran om överlåtelse av tillsyn av vattenverksamheten i projekt Kolkajen, Skelleftehamn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195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Taxor för Florahallen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202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Taxor inom miljöbalkens område från och med 2021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208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Avgift för deponering av sulfidjord på Loftberget, Sunnanå 5:21 och Sörböle 1:2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248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Mindre ändring i avfallstaxan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310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Skellefteå Stadshus AB begäran att få köpa samtliga aktier i Skellefteå museum AB, Västerbottensteatern AB samt Visit Skellefteå AB från Skellefteå kommun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324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Årsredovisning 2019 inklusive revisionsberättelse, Samordningsförbundet Skellefteå-Norsjö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329</w:t>
            </w:r>
          </w:p>
        </w:tc>
      </w:tr>
      <w:tr w:rsidR="00540DD8" w:rsidRPr="00853261" w:rsidTr="003377A5">
        <w:trPr>
          <w:cantSplit/>
          <w:trHeight w:val="660"/>
        </w:trPr>
        <w:tc>
          <w:tcPr>
            <w:tcW w:w="779" w:type="dxa"/>
          </w:tcPr>
          <w:p w:rsidR="00540DD8" w:rsidRPr="0098231B" w:rsidRDefault="00540DD8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540DD8" w:rsidRPr="00DF3CAD" w:rsidRDefault="00FF6A3E" w:rsidP="00FF6A3E">
            <w:pPr>
              <w:pStyle w:val="Tabellinnehll"/>
            </w:pPr>
            <w:r w:rsidRPr="00DF3CAD">
              <w:t>Årsredovisning 2019 för Stiftelsen Rönnbäret</w:t>
            </w:r>
            <w:r w:rsidRPr="00C16AF0">
              <w:br/>
            </w:r>
          </w:p>
        </w:tc>
        <w:tc>
          <w:tcPr>
            <w:tcW w:w="1260" w:type="dxa"/>
          </w:tcPr>
          <w:p w:rsidR="00540DD8" w:rsidRPr="00AC3768" w:rsidRDefault="00540DD8" w:rsidP="003377A5">
            <w:pPr>
              <w:pStyle w:val="Tabellinnehll"/>
            </w:pPr>
          </w:p>
        </w:tc>
        <w:tc>
          <w:tcPr>
            <w:tcW w:w="1221" w:type="dxa"/>
          </w:tcPr>
          <w:p w:rsidR="00540DD8" w:rsidRDefault="00240E47" w:rsidP="003377A5">
            <w:pPr>
              <w:pStyle w:val="Tabellinnehll"/>
            </w:pPr>
            <w:r>
              <w:t>402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F6A3E" w:rsidP="003377A5">
            <w:pPr>
              <w:pStyle w:val="Tabellinnehll"/>
            </w:pPr>
            <w:r w:rsidRPr="00540DD8">
              <w:t>Godkännande av föräldraledighet för förtroendevalda med mera</w:t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414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BE6A23">
            <w:pPr>
              <w:pStyle w:val="Tabellinnehll"/>
            </w:pPr>
            <w:r w:rsidRPr="00DF3CAD">
              <w:t>Fyllnadsval av ledamot och ordförande i valnämnden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420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Avsägelse från Gun-Kajsa Lindström (V) av uppdraget som ersättare i Skellefteå nödhjälpsstiftelse och eventuellt fyllnadsval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421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DF3CAD" w:rsidRDefault="00F85ADD" w:rsidP="00F85ADD">
            <w:pPr>
              <w:pStyle w:val="Tabellinnehll"/>
            </w:pPr>
            <w:r w:rsidRPr="00DF3CAD">
              <w:t>Fyllnadsval av ersättare i för- och grundskolenämnden</w:t>
            </w:r>
          </w:p>
          <w:p w:rsidR="00F85ADD" w:rsidRPr="00C16AF0" w:rsidRDefault="00F85ADD" w:rsidP="003377A5">
            <w:pPr>
              <w:pStyle w:val="Tabellinnehll"/>
            </w:pP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422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 xml:space="preserve">Motion av Anna From-Lindqvist (C) om Skellefteå som Spontanidrottens </w:t>
            </w:r>
            <w:proofErr w:type="spellStart"/>
            <w:r w:rsidRPr="00DF3CAD">
              <w:t>mekka</w:t>
            </w:r>
            <w:proofErr w:type="spellEnd"/>
            <w:r w:rsidRPr="00DF3CAD">
              <w:t xml:space="preserve"> (45/19)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423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Motion av Markku Abrahamsson (SD) om bättre lokaldemokrati och medborgarinflytande bland annat genom att införa allmänhetens frågestund, politikercafé med mera (18/20)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434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Motion av Markku Abrahamsson (SD) om att bilda en ny nämnd/beredning med särskilt landsbygdsansvar (17/20)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439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 xml:space="preserve">Motion av </w:t>
            </w:r>
            <w:proofErr w:type="spellStart"/>
            <w:r w:rsidRPr="00DF3CAD">
              <w:t>Shervin</w:t>
            </w:r>
            <w:proofErr w:type="spellEnd"/>
            <w:r w:rsidRPr="00DF3CAD">
              <w:t xml:space="preserve"> </w:t>
            </w:r>
            <w:proofErr w:type="spellStart"/>
            <w:r w:rsidRPr="00DF3CAD">
              <w:t>Ahmadzadeh</w:t>
            </w:r>
            <w:proofErr w:type="spellEnd"/>
            <w:r w:rsidRPr="00DF3CAD">
              <w:t xml:space="preserve"> (L) om att professionalisera mentorskapet - för lärarna och elevernas skull (8/20)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448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Motion av Andreas Löwenhöök (M), Carina Sundbom (C), Christina Soldan (L) och Charlotta Enqvist (KD) om mål om mindre barngrupper i förskolan (6/20)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456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Motion av Markku Abrahamsson (SD) om att genomföra en studie av Trelleborgsmodellen (34/19)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467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894726">
            <w:pPr>
              <w:pStyle w:val="Tabellinnehll"/>
            </w:pPr>
            <w:r w:rsidRPr="00DF3CAD">
              <w:t>Motion av Andreas Löwenhöök (M), Carina Sundbom (C), Christina Soldan (L) och Charlotta Enqvist (KD) om osund konkurrens i Skellefteå kommun (10/20)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476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894726">
            <w:pPr>
              <w:pStyle w:val="Tabellinnehll"/>
            </w:pPr>
            <w:r w:rsidRPr="00DF3CAD">
              <w:t xml:space="preserve">Motion av Håkan Andersson (C), Hans Brettschneider (MP) </w:t>
            </w:r>
            <w:proofErr w:type="gramStart"/>
            <w:r w:rsidRPr="00DF3CAD">
              <w:t>och  Katarina</w:t>
            </w:r>
            <w:proofErr w:type="gramEnd"/>
            <w:r w:rsidRPr="00DF3CAD">
              <w:t xml:space="preserve"> Larsson (C) om att certifiera arbetsmiljön (50/19)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485</w:t>
            </w: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Motion av Andreas Löwenhöök (M), Carina Sundbom (C), Christina Soldan (L) och Charlotta Enqvist (KD) om Åklagarmyndighet i Skellefteå kommun (11/20)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497</w:t>
            </w:r>
          </w:p>
        </w:tc>
      </w:tr>
      <w:tr w:rsidR="00894726" w:rsidTr="0041785E">
        <w:trPr>
          <w:cantSplit/>
          <w:trHeight w:val="660"/>
        </w:trPr>
        <w:tc>
          <w:tcPr>
            <w:tcW w:w="779" w:type="dxa"/>
          </w:tcPr>
          <w:p w:rsidR="00894726" w:rsidRPr="0098231B" w:rsidRDefault="00894726" w:rsidP="0041785E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894726" w:rsidRPr="00C16AF0" w:rsidRDefault="00BE788A" w:rsidP="0041785E">
            <w:pPr>
              <w:pStyle w:val="Tabellinnehll"/>
            </w:pPr>
            <w:r w:rsidRPr="00DF3CAD">
              <w:t>Eventuella frågor</w:t>
            </w:r>
            <w:r w:rsidR="00894726" w:rsidRPr="00C16AF0">
              <w:br/>
            </w:r>
          </w:p>
        </w:tc>
        <w:tc>
          <w:tcPr>
            <w:tcW w:w="1260" w:type="dxa"/>
          </w:tcPr>
          <w:p w:rsidR="00894726" w:rsidRPr="00AC3768" w:rsidRDefault="00894726" w:rsidP="0041785E">
            <w:pPr>
              <w:pStyle w:val="Tabellinnehll"/>
            </w:pPr>
          </w:p>
        </w:tc>
        <w:tc>
          <w:tcPr>
            <w:tcW w:w="1221" w:type="dxa"/>
          </w:tcPr>
          <w:p w:rsidR="00894726" w:rsidRDefault="00894726" w:rsidP="0041785E">
            <w:pPr>
              <w:pStyle w:val="Tabellinnehll"/>
            </w:pPr>
          </w:p>
        </w:tc>
      </w:tr>
      <w:tr w:rsidR="00F85ADD" w:rsidRPr="00853261" w:rsidTr="003377A5">
        <w:trPr>
          <w:cantSplit/>
          <w:trHeight w:val="660"/>
        </w:trPr>
        <w:tc>
          <w:tcPr>
            <w:tcW w:w="779" w:type="dxa"/>
          </w:tcPr>
          <w:p w:rsidR="00F85ADD" w:rsidRPr="0098231B" w:rsidRDefault="00F85ADD" w:rsidP="003377A5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F85ADD" w:rsidRPr="00C16AF0" w:rsidRDefault="00F85ADD" w:rsidP="003377A5">
            <w:pPr>
              <w:pStyle w:val="Tabellinnehll"/>
            </w:pPr>
            <w:r w:rsidRPr="00DF3CAD">
              <w:t>Remisser</w:t>
            </w:r>
            <w:r w:rsidRPr="00C16AF0">
              <w:br/>
            </w:r>
          </w:p>
        </w:tc>
        <w:tc>
          <w:tcPr>
            <w:tcW w:w="1260" w:type="dxa"/>
          </w:tcPr>
          <w:p w:rsidR="00F85ADD" w:rsidRPr="00AC3768" w:rsidRDefault="00F85ADD" w:rsidP="003377A5">
            <w:pPr>
              <w:pStyle w:val="Tabellinnehll"/>
            </w:pPr>
          </w:p>
        </w:tc>
        <w:tc>
          <w:tcPr>
            <w:tcW w:w="1221" w:type="dxa"/>
          </w:tcPr>
          <w:p w:rsidR="00F85ADD" w:rsidRDefault="00240E47" w:rsidP="003377A5">
            <w:pPr>
              <w:pStyle w:val="Tabellinnehll"/>
            </w:pPr>
            <w:r>
              <w:t>502</w:t>
            </w:r>
          </w:p>
        </w:tc>
      </w:tr>
      <w:tr w:rsidR="001A7C87" w:rsidRPr="00853261" w:rsidTr="00E9754A">
        <w:trPr>
          <w:cantSplit/>
          <w:trHeight w:val="660"/>
        </w:trPr>
        <w:tc>
          <w:tcPr>
            <w:tcW w:w="779" w:type="dxa"/>
          </w:tcPr>
          <w:p w:rsidR="001A7C87" w:rsidRPr="0098231B" w:rsidRDefault="001A7C87" w:rsidP="00D63E8F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1A7C87" w:rsidRPr="00C16AF0" w:rsidRDefault="00F85ADD" w:rsidP="00AC3768">
            <w:pPr>
              <w:pStyle w:val="Tabellinnehll"/>
            </w:pPr>
            <w:r w:rsidRPr="00DF3CAD">
              <w:t xml:space="preserve">Delgivningar </w:t>
            </w:r>
            <w:r w:rsidR="001A7C87" w:rsidRPr="00C16AF0">
              <w:br/>
            </w:r>
          </w:p>
        </w:tc>
        <w:tc>
          <w:tcPr>
            <w:tcW w:w="1260" w:type="dxa"/>
          </w:tcPr>
          <w:p w:rsidR="001A7C87" w:rsidRPr="00AC3768" w:rsidRDefault="001A7C87" w:rsidP="00AC3768">
            <w:pPr>
              <w:pStyle w:val="Tabellinnehll"/>
            </w:pPr>
          </w:p>
        </w:tc>
        <w:tc>
          <w:tcPr>
            <w:tcW w:w="1221" w:type="dxa"/>
          </w:tcPr>
          <w:p w:rsidR="001A7C87" w:rsidRDefault="00240E47" w:rsidP="00AC3768">
            <w:pPr>
              <w:pStyle w:val="Tabellinnehll"/>
            </w:pPr>
            <w:r>
              <w:t>511</w:t>
            </w:r>
          </w:p>
        </w:tc>
      </w:tr>
      <w:tr w:rsidR="00A30F43" w:rsidRPr="00853261" w:rsidTr="00E9754A">
        <w:trPr>
          <w:cantSplit/>
          <w:trHeight w:val="660"/>
        </w:trPr>
        <w:tc>
          <w:tcPr>
            <w:tcW w:w="779" w:type="dxa"/>
          </w:tcPr>
          <w:p w:rsidR="00A30F43" w:rsidRPr="0098231B" w:rsidRDefault="00A30F43" w:rsidP="00D63E8F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A30F43" w:rsidRPr="00DF3CAD" w:rsidRDefault="00A30F43" w:rsidP="00AC3768">
            <w:pPr>
              <w:pStyle w:val="Tabellinnehll"/>
            </w:pPr>
            <w:r>
              <w:t>Fyllnadsval av revisor</w:t>
            </w:r>
          </w:p>
        </w:tc>
        <w:tc>
          <w:tcPr>
            <w:tcW w:w="1260" w:type="dxa"/>
          </w:tcPr>
          <w:p w:rsidR="00A30F43" w:rsidRPr="00AC3768" w:rsidRDefault="00A30F43" w:rsidP="00AC3768">
            <w:pPr>
              <w:pStyle w:val="Tabellinnehll"/>
            </w:pPr>
          </w:p>
        </w:tc>
        <w:tc>
          <w:tcPr>
            <w:tcW w:w="1221" w:type="dxa"/>
          </w:tcPr>
          <w:p w:rsidR="00A30F43" w:rsidRDefault="00A30F43" w:rsidP="00AC3768">
            <w:pPr>
              <w:pStyle w:val="Tabellinnehll"/>
            </w:pPr>
          </w:p>
        </w:tc>
      </w:tr>
      <w:tr w:rsidR="00A30F43" w:rsidRPr="00853261" w:rsidTr="00E9754A">
        <w:trPr>
          <w:cantSplit/>
          <w:trHeight w:val="660"/>
        </w:trPr>
        <w:tc>
          <w:tcPr>
            <w:tcW w:w="779" w:type="dxa"/>
          </w:tcPr>
          <w:p w:rsidR="00A30F43" w:rsidRPr="0098231B" w:rsidRDefault="00A30F43" w:rsidP="00D63E8F">
            <w:pPr>
              <w:pStyle w:val="Tabellinnehll"/>
              <w:numPr>
                <w:ilvl w:val="0"/>
                <w:numId w:val="1"/>
              </w:numPr>
              <w:spacing w:after="240"/>
              <w:ind w:left="357" w:hanging="357"/>
            </w:pPr>
          </w:p>
        </w:tc>
        <w:tc>
          <w:tcPr>
            <w:tcW w:w="6521" w:type="dxa"/>
          </w:tcPr>
          <w:p w:rsidR="00A30F43" w:rsidRDefault="00A30F43" w:rsidP="00AC3768">
            <w:pPr>
              <w:pStyle w:val="Tabellinnehll"/>
            </w:pPr>
            <w:r>
              <w:t>Fyllnadsval av le</w:t>
            </w:r>
            <w:r w:rsidR="007A3258">
              <w:t>k</w:t>
            </w:r>
            <w:r>
              <w:t>mannarevisor</w:t>
            </w:r>
          </w:p>
        </w:tc>
        <w:tc>
          <w:tcPr>
            <w:tcW w:w="1260" w:type="dxa"/>
          </w:tcPr>
          <w:p w:rsidR="00A30F43" w:rsidRPr="00AC3768" w:rsidRDefault="00A30F43" w:rsidP="00AC3768">
            <w:pPr>
              <w:pStyle w:val="Tabellinnehll"/>
            </w:pPr>
          </w:p>
        </w:tc>
        <w:tc>
          <w:tcPr>
            <w:tcW w:w="1221" w:type="dxa"/>
          </w:tcPr>
          <w:p w:rsidR="00A30F43" w:rsidRDefault="00240E47" w:rsidP="00AC3768">
            <w:pPr>
              <w:pStyle w:val="Tabellinnehll"/>
            </w:pPr>
            <w:r>
              <w:t>574</w:t>
            </w:r>
          </w:p>
        </w:tc>
      </w:tr>
    </w:tbl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>
        <w:t>Skellefteå 2020-09-01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Daniel </w:t>
      </w:r>
      <w:proofErr w:type="spellStart"/>
      <w:r w:rsidRPr="00152D55">
        <w:t>Ådin</w:t>
      </w:r>
      <w:proofErr w:type="spellEnd"/>
    </w:p>
    <w:p w:rsidR="00894726" w:rsidRPr="00152D55" w:rsidRDefault="00894726" w:rsidP="00894726">
      <w:pPr>
        <w:pStyle w:val="Tabellinnehll"/>
        <w:ind w:left="851"/>
      </w:pPr>
      <w:r w:rsidRPr="00152D55">
        <w:t>Ordförande</w:t>
      </w:r>
    </w:p>
    <w:p w:rsidR="00894726" w:rsidRDefault="00894726" w:rsidP="00894726">
      <w:pPr>
        <w:pStyle w:val="Tabellinnehll"/>
        <w:ind w:left="851"/>
      </w:pPr>
    </w:p>
    <w:p w:rsidR="00894726" w:rsidRDefault="00894726" w:rsidP="00894726">
      <w:pPr>
        <w:pStyle w:val="Tabellinnehll"/>
        <w:ind w:left="851"/>
      </w:pPr>
    </w:p>
    <w:p w:rsidR="00894726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</w:p>
    <w:tbl>
      <w:tblPr>
        <w:tblW w:w="7654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</w:tblGrid>
      <w:tr w:rsidR="00894726" w:rsidTr="0041785E">
        <w:tc>
          <w:tcPr>
            <w:tcW w:w="7654" w:type="dxa"/>
          </w:tcPr>
          <w:p w:rsidR="00894726" w:rsidRPr="00152D55" w:rsidRDefault="00894726" w:rsidP="0041785E">
            <w:pPr>
              <w:pStyle w:val="Tabellinnehll"/>
              <w:ind w:left="213"/>
            </w:pPr>
          </w:p>
          <w:p w:rsidR="00894726" w:rsidRPr="00982991" w:rsidRDefault="00894726" w:rsidP="0041785E">
            <w:pPr>
              <w:pStyle w:val="Tabellinnehll"/>
              <w:ind w:left="213"/>
              <w:rPr>
                <w:b/>
              </w:rPr>
            </w:pPr>
            <w:r w:rsidRPr="00982991">
              <w:rPr>
                <w:b/>
              </w:rPr>
              <w:t xml:space="preserve">Förhinder att delta i sammanträdet ska snarast anmälas till </w:t>
            </w:r>
            <w:hyperlink r:id="rId9" w:history="1">
              <w:r w:rsidRPr="00982991">
                <w:rPr>
                  <w:b/>
                </w:rPr>
                <w:t>kommunstyrelsen@skelleftea.se</w:t>
              </w:r>
            </w:hyperlink>
            <w:r w:rsidRPr="00982991">
              <w:rPr>
                <w:b/>
              </w:rPr>
              <w:t xml:space="preserve"> eller 0910-73 50 00 </w:t>
            </w:r>
          </w:p>
          <w:p w:rsidR="00894726" w:rsidRPr="00152D55" w:rsidRDefault="00894726" w:rsidP="0041785E">
            <w:pPr>
              <w:pStyle w:val="Tabellinnehll"/>
              <w:ind w:left="851"/>
            </w:pPr>
          </w:p>
        </w:tc>
      </w:tr>
    </w:tbl>
    <w:p w:rsidR="00894726" w:rsidRDefault="00894726" w:rsidP="00894726">
      <w:pPr>
        <w:pStyle w:val="Tabellinnehll"/>
        <w:ind w:left="851"/>
      </w:pPr>
    </w:p>
    <w:p w:rsidR="00894726" w:rsidRDefault="00894726" w:rsidP="00894726">
      <w:pPr>
        <w:rPr>
          <w:sz w:val="20"/>
        </w:rPr>
      </w:pP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Centerpartiets fullmäktigegrupp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 i </w:t>
      </w:r>
    </w:p>
    <w:p w:rsidR="00894726" w:rsidRPr="00152D55" w:rsidRDefault="00894726" w:rsidP="00894726">
      <w:pPr>
        <w:pStyle w:val="Tabellinnehll"/>
        <w:ind w:left="851"/>
      </w:pPr>
      <w:r w:rsidRPr="00152D55">
        <w:t>i rum nr 9, utanför Campusbiblioteket (1 trappa ner).</w:t>
      </w:r>
    </w:p>
    <w:p w:rsidR="00894726" w:rsidRPr="00152D55" w:rsidRDefault="00894726" w:rsidP="00894726">
      <w:pPr>
        <w:pStyle w:val="Tabellinnehll"/>
        <w:ind w:left="851"/>
      </w:pPr>
      <w:r w:rsidRPr="00152D55">
        <w:t xml:space="preserve"> </w:t>
      </w:r>
    </w:p>
    <w:p w:rsidR="00894726" w:rsidRPr="00152D55" w:rsidRDefault="00894726" w:rsidP="00894726">
      <w:pPr>
        <w:pStyle w:val="Tabellinnehll"/>
        <w:ind w:left="851"/>
      </w:pPr>
      <w:r w:rsidRPr="00152D55">
        <w:t xml:space="preserve">Liberalernas fullmäktigegrupp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 i </w:t>
      </w:r>
    </w:p>
    <w:p w:rsidR="00894726" w:rsidRPr="00152D55" w:rsidRDefault="00894726" w:rsidP="00894726">
      <w:pPr>
        <w:pStyle w:val="Tabellinnehll"/>
        <w:ind w:left="851"/>
      </w:pPr>
      <w:r w:rsidRPr="00152D55">
        <w:t>Rum Trivseln, hus E, 1 trappa upp.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Kristdemokraternas fullmäktigegrupp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</w:t>
      </w:r>
      <w:r w:rsidR="000E4D8E">
        <w:t xml:space="preserve"> </w:t>
      </w:r>
      <w:r w:rsidRPr="00152D55">
        <w:t>i grupprum 4, Campusbiblioteket (övre plan).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Miljöpartiets </w:t>
      </w:r>
      <w:proofErr w:type="gramStart"/>
      <w:r w:rsidRPr="00152D55">
        <w:t>fullmäktigegruppen</w:t>
      </w:r>
      <w:proofErr w:type="gramEnd"/>
      <w:r w:rsidRPr="00152D55">
        <w:t xml:space="preserve">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 i</w:t>
      </w:r>
    </w:p>
    <w:p w:rsidR="00894726" w:rsidRPr="00152D55" w:rsidRDefault="00894726" w:rsidP="00894726">
      <w:pPr>
        <w:pStyle w:val="Tabellinnehll"/>
        <w:ind w:left="851"/>
      </w:pPr>
      <w:r w:rsidRPr="00152D55">
        <w:t>mötesrum Campusutveckling konferens, E-huset.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Moderaternas fullmäktigegrupp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 </w:t>
      </w:r>
    </w:p>
    <w:p w:rsidR="00894726" w:rsidRPr="00152D55" w:rsidRDefault="00894726" w:rsidP="00894726">
      <w:pPr>
        <w:pStyle w:val="Tabellinnehll"/>
        <w:ind w:left="851"/>
      </w:pPr>
      <w:r w:rsidRPr="00152D55">
        <w:t>i grupprum 3, Campusbiblioteket (övre plan).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Socialdemokraternas fullmäktigegrupp sammanträder </w:t>
      </w:r>
      <w:r>
        <w:t>tisdag 15 september</w:t>
      </w:r>
      <w:r w:rsidRPr="00152D55">
        <w:br/>
      </w:r>
      <w:proofErr w:type="spellStart"/>
      <w:r w:rsidRPr="00152D55">
        <w:t>kl</w:t>
      </w:r>
      <w:proofErr w:type="spellEnd"/>
      <w:r w:rsidRPr="00152D55">
        <w:t xml:space="preserve"> 08.00 i mötesrum </w:t>
      </w:r>
      <w:r>
        <w:t>Arenan</w:t>
      </w:r>
      <w:r w:rsidRPr="00152D55">
        <w:t>, Campusområdet.</w:t>
      </w:r>
      <w:r w:rsidRPr="00152D55">
        <w:br/>
      </w:r>
    </w:p>
    <w:p w:rsidR="00894726" w:rsidRPr="00152D55" w:rsidRDefault="00894726" w:rsidP="00894726">
      <w:pPr>
        <w:pStyle w:val="Tabellinnehll"/>
        <w:ind w:left="851"/>
      </w:pPr>
      <w:r w:rsidRPr="00152D55">
        <w:t xml:space="preserve">Vänsterpartiets fullmäktigegrupp sammanträder </w:t>
      </w:r>
      <w:r>
        <w:t>tisdag 15 september</w:t>
      </w:r>
      <w:r w:rsidRPr="00152D55">
        <w:t xml:space="preserve"> </w:t>
      </w:r>
      <w:proofErr w:type="spellStart"/>
      <w:r w:rsidRPr="00152D55">
        <w:t>kl</w:t>
      </w:r>
      <w:proofErr w:type="spellEnd"/>
      <w:r w:rsidRPr="00152D55">
        <w:t xml:space="preserve"> 08.00 i </w:t>
      </w:r>
      <w:r w:rsidRPr="00152D55">
        <w:br/>
      </w:r>
      <w:proofErr w:type="spellStart"/>
      <w:r w:rsidRPr="00152D55">
        <w:t>i</w:t>
      </w:r>
      <w:proofErr w:type="spellEnd"/>
      <w:r w:rsidRPr="00152D55">
        <w:t xml:space="preserve"> grupprum 8, Campusbiblioteket (nedre plan).</w:t>
      </w:r>
    </w:p>
    <w:p w:rsidR="00894726" w:rsidRPr="00152D55" w:rsidRDefault="00894726" w:rsidP="00894726">
      <w:pPr>
        <w:pStyle w:val="Tabellinnehll"/>
        <w:ind w:left="851"/>
      </w:pPr>
    </w:p>
    <w:p w:rsidR="00894726" w:rsidRPr="00152D55" w:rsidRDefault="00894726" w:rsidP="00894726">
      <w:pPr>
        <w:pStyle w:val="Tabellinnehll"/>
        <w:ind w:left="851"/>
      </w:pPr>
      <w:r w:rsidRPr="00152D55">
        <w:t xml:space="preserve">Sverigedemokraternas fullmäktigegrupp sammanträder </w:t>
      </w:r>
      <w:r>
        <w:t>tisdag 15 september</w:t>
      </w:r>
      <w:r w:rsidRPr="00152D55">
        <w:t xml:space="preserve"> </w:t>
      </w:r>
      <w:r w:rsidRPr="00152D55">
        <w:br/>
      </w:r>
      <w:proofErr w:type="spellStart"/>
      <w:r w:rsidRPr="00152D55">
        <w:t>kl</w:t>
      </w:r>
      <w:proofErr w:type="spellEnd"/>
      <w:r w:rsidRPr="00152D55">
        <w:t xml:space="preserve"> 08.00 i grupprum 5, Campusbiblioteket (övre plan)</w:t>
      </w:r>
    </w:p>
    <w:p w:rsidR="00894726" w:rsidRPr="00152D55" w:rsidRDefault="00894726" w:rsidP="00894726">
      <w:pPr>
        <w:pStyle w:val="Tabellinnehll"/>
        <w:ind w:left="851"/>
      </w:pPr>
    </w:p>
    <w:p w:rsidR="00894726" w:rsidRDefault="00894726" w:rsidP="00894726">
      <w:pPr>
        <w:pStyle w:val="Tabellinnehll"/>
        <w:ind w:left="851"/>
      </w:pPr>
      <w:r w:rsidRPr="00152D55">
        <w:t>Handlingarna till ärendena finns för kommunfullmäktige tillgängliga på ko</w:t>
      </w:r>
      <w:r w:rsidRPr="00982991">
        <w:t>mmunstyrelsens sekretariat.</w:t>
      </w:r>
    </w:p>
    <w:p w:rsidR="00894726" w:rsidRPr="00951B63" w:rsidRDefault="00894726" w:rsidP="00894726">
      <w:pPr>
        <w:pStyle w:val="Tabellinnehll"/>
        <w:ind w:left="851"/>
      </w:pPr>
    </w:p>
    <w:p w:rsidR="00A90FC8" w:rsidRPr="00951B63" w:rsidRDefault="00A90FC8" w:rsidP="00CE2B5D">
      <w:pPr>
        <w:pStyle w:val="Brdtext"/>
      </w:pPr>
    </w:p>
    <w:sectPr w:rsidR="00A90FC8" w:rsidRPr="00951B63" w:rsidSect="004E19A5">
      <w:headerReference w:type="default" r:id="rId10"/>
      <w:footerReference w:type="default" r:id="rId11"/>
      <w:headerReference w:type="first" r:id="rId12"/>
      <w:pgSz w:w="11906" w:h="16838" w:code="9"/>
      <w:pgMar w:top="454" w:right="2041" w:bottom="397" w:left="141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DD" w:rsidRDefault="00F85ADD" w:rsidP="00A80039">
      <w:pPr>
        <w:pStyle w:val="Tabellinnehll"/>
      </w:pPr>
      <w:r>
        <w:separator/>
      </w:r>
    </w:p>
  </w:endnote>
  <w:endnote w:type="continuationSeparator" w:id="0">
    <w:p w:rsidR="00F85ADD" w:rsidRDefault="00F85ADD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BF" w:rsidRDefault="008216BF" w:rsidP="00BA066B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DD" w:rsidRDefault="00F85ADD" w:rsidP="00A80039">
      <w:pPr>
        <w:pStyle w:val="Tabellinnehll"/>
      </w:pPr>
      <w:r>
        <w:separator/>
      </w:r>
    </w:p>
  </w:footnote>
  <w:footnote w:type="continuationSeparator" w:id="0">
    <w:p w:rsidR="00F85ADD" w:rsidRDefault="00F85ADD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523175" w:rsidRPr="00BA066B" w:rsidTr="00166B99">
      <w:trPr>
        <w:cantSplit/>
        <w:trHeight w:val="480"/>
      </w:trPr>
      <w:tc>
        <w:tcPr>
          <w:tcW w:w="5216" w:type="dxa"/>
          <w:vAlign w:val="bottom"/>
        </w:tcPr>
        <w:p w:rsidR="00523175" w:rsidRPr="00D20AC8" w:rsidRDefault="006868B6" w:rsidP="003F5EBD">
          <w:pPr>
            <w:pStyle w:val="Sidhuvud"/>
          </w:pPr>
          <w:r>
            <w:t>Skellefteå kommun</w:t>
          </w:r>
        </w:p>
      </w:tc>
      <w:tc>
        <w:tcPr>
          <w:tcW w:w="1956" w:type="dxa"/>
        </w:tcPr>
        <w:p w:rsidR="00523175" w:rsidRPr="00BA066B" w:rsidRDefault="00951B63" w:rsidP="00166B99">
          <w:pPr>
            <w:pStyle w:val="Sidhuvudledtext"/>
          </w:pPr>
          <w:r>
            <w:t>Datum</w:t>
          </w:r>
        </w:p>
        <w:p w:rsidR="00523175" w:rsidRPr="00BA066B" w:rsidRDefault="00F85ADD" w:rsidP="00166B99">
          <w:pPr>
            <w:pStyle w:val="Sidhuvud"/>
          </w:pPr>
          <w:r>
            <w:t>2020-08-24</w:t>
          </w:r>
        </w:p>
      </w:tc>
      <w:tc>
        <w:tcPr>
          <w:tcW w:w="1956" w:type="dxa"/>
        </w:tcPr>
        <w:p w:rsidR="00523175" w:rsidRPr="00BA066B" w:rsidRDefault="00523175" w:rsidP="00166B99">
          <w:pPr>
            <w:pStyle w:val="Sidhuvudledtext"/>
          </w:pPr>
        </w:p>
        <w:p w:rsidR="00523175" w:rsidRPr="00BA066B" w:rsidRDefault="00523175" w:rsidP="00166B99">
          <w:pPr>
            <w:pStyle w:val="Sidhuvud"/>
          </w:pPr>
        </w:p>
      </w:tc>
      <w:tc>
        <w:tcPr>
          <w:tcW w:w="1304" w:type="dxa"/>
        </w:tcPr>
        <w:p w:rsidR="00523175" w:rsidRPr="00BA066B" w:rsidRDefault="00951B63" w:rsidP="00166B99">
          <w:pPr>
            <w:pStyle w:val="Sidhuvudledtext"/>
          </w:pPr>
          <w:r>
            <w:t>Sida</w:t>
          </w:r>
        </w:p>
        <w:p w:rsidR="00523175" w:rsidRPr="00BA066B" w:rsidRDefault="002C0248" w:rsidP="00166B99">
          <w:pPr>
            <w:pStyle w:val="Sidhuvud"/>
          </w:pPr>
          <w:r>
            <w:rPr>
              <w:rStyle w:val="Sidnummer"/>
            </w:rPr>
            <w:fldChar w:fldCharType="begin"/>
          </w:r>
          <w:r w:rsidR="00523175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0473B4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 w:rsidR="00523175"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="00523175"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0473B4">
            <w:rPr>
              <w:rStyle w:val="Sidnummer"/>
              <w:noProof/>
            </w:rPr>
            <w:t>4</w:t>
          </w:r>
          <w:r w:rsidRPr="00BA066B">
            <w:rPr>
              <w:rStyle w:val="Sidnummer"/>
            </w:rPr>
            <w:fldChar w:fldCharType="end"/>
          </w:r>
          <w:r w:rsidR="00523175" w:rsidRPr="00BA066B">
            <w:rPr>
              <w:rStyle w:val="Sidnummer"/>
            </w:rPr>
            <w:t>)</w:t>
          </w:r>
        </w:p>
      </w:tc>
    </w:tr>
  </w:tbl>
  <w:p w:rsidR="00523175" w:rsidRDefault="00523175" w:rsidP="003F5EBD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BF" w:rsidRDefault="008216BF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TEMP\organisation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vandare_txt_Enhet" w:val="Kommunstyrelsens sekretariat"/>
    <w:docVar w:name="anvandare_txt_Epost" w:val="asa.lundmark@skelleftea.se"/>
    <w:docVar w:name="anvandare_txt_Namn" w:val="Åsa Lundmark"/>
    <w:docVar w:name="anvandare_txt_Profil" w:val="REG"/>
    <w:docVar w:name="anvandare_txt_Sign" w:val="KLKALUK"/>
    <w:docVar w:name="Datum" w:val="2020-09-15"/>
    <w:docVar w:name="DokumentArkiv_FileInApprovalProcess" w:val="0"/>
    <w:docVar w:name="DokumentArkiv_moteCheckOut" w:val="J"/>
    <w:docVar w:name="DokumentArkiv_NameService" w:val="ske-cicapp01"/>
    <w:docVar w:name="DokumentArkiv_SecurityDomain" w:val="Ciceron"/>
    <w:docVar w:name="Instans" w:val="Kommunfullmäktige"/>
    <w:docVar w:name="MallTyp" w:val="Kallelse"/>
    <w:docVar w:name="Möte" w:val="Kommunfullmäktiges sammanträde"/>
    <w:docVar w:name="Ordförande" w:val="«Ordförande»"/>
    <w:docVar w:name="Paragrafer" w:val="«Paragrafer»"/>
    <w:docVar w:name="Plats" w:val="Forumsalen, Campus Skellefteå"/>
    <w:docVar w:name="Tid" w:val="09:00"/>
  </w:docVars>
  <w:rsids>
    <w:rsidRoot w:val="00F85ADD"/>
    <w:rsid w:val="00005E4F"/>
    <w:rsid w:val="0000633C"/>
    <w:rsid w:val="0001060E"/>
    <w:rsid w:val="00010884"/>
    <w:rsid w:val="00011C83"/>
    <w:rsid w:val="00013758"/>
    <w:rsid w:val="00016528"/>
    <w:rsid w:val="00017298"/>
    <w:rsid w:val="0002105D"/>
    <w:rsid w:val="0002645A"/>
    <w:rsid w:val="0003611D"/>
    <w:rsid w:val="00036CCD"/>
    <w:rsid w:val="00037330"/>
    <w:rsid w:val="00037F70"/>
    <w:rsid w:val="00040E2E"/>
    <w:rsid w:val="000473B4"/>
    <w:rsid w:val="00055670"/>
    <w:rsid w:val="00056BE6"/>
    <w:rsid w:val="000645F8"/>
    <w:rsid w:val="00076E97"/>
    <w:rsid w:val="00082DE8"/>
    <w:rsid w:val="000875A0"/>
    <w:rsid w:val="00092FE0"/>
    <w:rsid w:val="0009550E"/>
    <w:rsid w:val="0009660B"/>
    <w:rsid w:val="000968E0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28AB"/>
    <w:rsid w:val="000D7DAC"/>
    <w:rsid w:val="000E4D8E"/>
    <w:rsid w:val="000F6D18"/>
    <w:rsid w:val="00104394"/>
    <w:rsid w:val="00116266"/>
    <w:rsid w:val="00121EEC"/>
    <w:rsid w:val="00122D7C"/>
    <w:rsid w:val="00132049"/>
    <w:rsid w:val="00144939"/>
    <w:rsid w:val="00147481"/>
    <w:rsid w:val="00154706"/>
    <w:rsid w:val="00160519"/>
    <w:rsid w:val="00161D7E"/>
    <w:rsid w:val="001626A3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34D3"/>
    <w:rsid w:val="0019734A"/>
    <w:rsid w:val="0019769E"/>
    <w:rsid w:val="001A0236"/>
    <w:rsid w:val="001A4B9D"/>
    <w:rsid w:val="001A7347"/>
    <w:rsid w:val="001A7C8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5915"/>
    <w:rsid w:val="001F6136"/>
    <w:rsid w:val="001F677A"/>
    <w:rsid w:val="0020028D"/>
    <w:rsid w:val="002004EE"/>
    <w:rsid w:val="00202024"/>
    <w:rsid w:val="002028A6"/>
    <w:rsid w:val="00210112"/>
    <w:rsid w:val="00221649"/>
    <w:rsid w:val="0022261C"/>
    <w:rsid w:val="00234807"/>
    <w:rsid w:val="00240E47"/>
    <w:rsid w:val="002443BC"/>
    <w:rsid w:val="00246CAA"/>
    <w:rsid w:val="002502F5"/>
    <w:rsid w:val="00256083"/>
    <w:rsid w:val="00270C4A"/>
    <w:rsid w:val="00277BC3"/>
    <w:rsid w:val="002844CB"/>
    <w:rsid w:val="002942CD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215E7"/>
    <w:rsid w:val="003230C2"/>
    <w:rsid w:val="00326DAF"/>
    <w:rsid w:val="00327E62"/>
    <w:rsid w:val="0033076D"/>
    <w:rsid w:val="003447CD"/>
    <w:rsid w:val="00345A58"/>
    <w:rsid w:val="00350015"/>
    <w:rsid w:val="003502FA"/>
    <w:rsid w:val="00354A45"/>
    <w:rsid w:val="003567CD"/>
    <w:rsid w:val="00361209"/>
    <w:rsid w:val="0036490E"/>
    <w:rsid w:val="0036682C"/>
    <w:rsid w:val="00366D7F"/>
    <w:rsid w:val="003708E9"/>
    <w:rsid w:val="00372BE4"/>
    <w:rsid w:val="003756D8"/>
    <w:rsid w:val="00387485"/>
    <w:rsid w:val="00387FD6"/>
    <w:rsid w:val="00397252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486E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4DEC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56AC"/>
    <w:rsid w:val="00477A62"/>
    <w:rsid w:val="00481183"/>
    <w:rsid w:val="00487137"/>
    <w:rsid w:val="004908D6"/>
    <w:rsid w:val="004958D2"/>
    <w:rsid w:val="004A030C"/>
    <w:rsid w:val="004A53C7"/>
    <w:rsid w:val="004B67CA"/>
    <w:rsid w:val="004B68F2"/>
    <w:rsid w:val="004C1BAF"/>
    <w:rsid w:val="004C245D"/>
    <w:rsid w:val="004D4C1C"/>
    <w:rsid w:val="004D55A4"/>
    <w:rsid w:val="004E19A5"/>
    <w:rsid w:val="004E1ACC"/>
    <w:rsid w:val="004E1D71"/>
    <w:rsid w:val="004E2168"/>
    <w:rsid w:val="004E241D"/>
    <w:rsid w:val="004E5E68"/>
    <w:rsid w:val="004E5F0E"/>
    <w:rsid w:val="004E7E8B"/>
    <w:rsid w:val="005020AA"/>
    <w:rsid w:val="00504F71"/>
    <w:rsid w:val="00506A2F"/>
    <w:rsid w:val="005138D5"/>
    <w:rsid w:val="005203BF"/>
    <w:rsid w:val="00523175"/>
    <w:rsid w:val="00533997"/>
    <w:rsid w:val="00535B74"/>
    <w:rsid w:val="00540DD8"/>
    <w:rsid w:val="005433F1"/>
    <w:rsid w:val="005517C6"/>
    <w:rsid w:val="00552E5D"/>
    <w:rsid w:val="005562F7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00F0"/>
    <w:rsid w:val="00594612"/>
    <w:rsid w:val="00595DD9"/>
    <w:rsid w:val="00596109"/>
    <w:rsid w:val="00596FD2"/>
    <w:rsid w:val="005A23E9"/>
    <w:rsid w:val="005A4DEB"/>
    <w:rsid w:val="005A4F6E"/>
    <w:rsid w:val="005A7172"/>
    <w:rsid w:val="005B1657"/>
    <w:rsid w:val="005C32A0"/>
    <w:rsid w:val="005C6B90"/>
    <w:rsid w:val="005D078E"/>
    <w:rsid w:val="005D12CF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5F7D8C"/>
    <w:rsid w:val="00600CC4"/>
    <w:rsid w:val="00601050"/>
    <w:rsid w:val="00601420"/>
    <w:rsid w:val="006017D9"/>
    <w:rsid w:val="00607E6D"/>
    <w:rsid w:val="00612BC5"/>
    <w:rsid w:val="00617BD4"/>
    <w:rsid w:val="00623485"/>
    <w:rsid w:val="0063013E"/>
    <w:rsid w:val="00640DF2"/>
    <w:rsid w:val="006443AF"/>
    <w:rsid w:val="006449E1"/>
    <w:rsid w:val="00645E76"/>
    <w:rsid w:val="006471B2"/>
    <w:rsid w:val="006477B1"/>
    <w:rsid w:val="0064799B"/>
    <w:rsid w:val="00647C54"/>
    <w:rsid w:val="0065360C"/>
    <w:rsid w:val="006563A4"/>
    <w:rsid w:val="006615D0"/>
    <w:rsid w:val="00664AF8"/>
    <w:rsid w:val="0066672B"/>
    <w:rsid w:val="006678D7"/>
    <w:rsid w:val="006711A3"/>
    <w:rsid w:val="00672ACE"/>
    <w:rsid w:val="006745DA"/>
    <w:rsid w:val="00674744"/>
    <w:rsid w:val="0068197C"/>
    <w:rsid w:val="00684029"/>
    <w:rsid w:val="00684B28"/>
    <w:rsid w:val="006868B6"/>
    <w:rsid w:val="006921FE"/>
    <w:rsid w:val="00695DFC"/>
    <w:rsid w:val="00695F7D"/>
    <w:rsid w:val="006960CE"/>
    <w:rsid w:val="006973FC"/>
    <w:rsid w:val="006A0CF7"/>
    <w:rsid w:val="006A489D"/>
    <w:rsid w:val="006B0841"/>
    <w:rsid w:val="006B1931"/>
    <w:rsid w:val="006C089D"/>
    <w:rsid w:val="006C2DAA"/>
    <w:rsid w:val="006C43E4"/>
    <w:rsid w:val="006C6A36"/>
    <w:rsid w:val="006C74BA"/>
    <w:rsid w:val="006D14B5"/>
    <w:rsid w:val="006D1580"/>
    <w:rsid w:val="006D2D62"/>
    <w:rsid w:val="006D2DFE"/>
    <w:rsid w:val="006D2E61"/>
    <w:rsid w:val="006D3212"/>
    <w:rsid w:val="006D7113"/>
    <w:rsid w:val="006E318E"/>
    <w:rsid w:val="006E5157"/>
    <w:rsid w:val="006E6FE9"/>
    <w:rsid w:val="006F6CDD"/>
    <w:rsid w:val="006F78BA"/>
    <w:rsid w:val="0070099E"/>
    <w:rsid w:val="007016A3"/>
    <w:rsid w:val="007036BE"/>
    <w:rsid w:val="0070578A"/>
    <w:rsid w:val="00706AF0"/>
    <w:rsid w:val="00707347"/>
    <w:rsid w:val="00707D6B"/>
    <w:rsid w:val="007113A5"/>
    <w:rsid w:val="0072626F"/>
    <w:rsid w:val="00727A82"/>
    <w:rsid w:val="00730386"/>
    <w:rsid w:val="00730CF6"/>
    <w:rsid w:val="00731223"/>
    <w:rsid w:val="00731268"/>
    <w:rsid w:val="00737FB8"/>
    <w:rsid w:val="00740AFB"/>
    <w:rsid w:val="00752292"/>
    <w:rsid w:val="00755AF0"/>
    <w:rsid w:val="00763AA7"/>
    <w:rsid w:val="00767611"/>
    <w:rsid w:val="007750D1"/>
    <w:rsid w:val="00776FA5"/>
    <w:rsid w:val="00780B2B"/>
    <w:rsid w:val="007815A2"/>
    <w:rsid w:val="0078321E"/>
    <w:rsid w:val="00792A2B"/>
    <w:rsid w:val="00794E38"/>
    <w:rsid w:val="00796E27"/>
    <w:rsid w:val="007A1380"/>
    <w:rsid w:val="007A3258"/>
    <w:rsid w:val="007A5216"/>
    <w:rsid w:val="007A52F8"/>
    <w:rsid w:val="007A76D5"/>
    <w:rsid w:val="007B6371"/>
    <w:rsid w:val="007B7365"/>
    <w:rsid w:val="007B7ED7"/>
    <w:rsid w:val="007C0F0B"/>
    <w:rsid w:val="007C19E3"/>
    <w:rsid w:val="007C273F"/>
    <w:rsid w:val="007C3169"/>
    <w:rsid w:val="007C4A77"/>
    <w:rsid w:val="007E1B50"/>
    <w:rsid w:val="007F51EB"/>
    <w:rsid w:val="00800261"/>
    <w:rsid w:val="0080371E"/>
    <w:rsid w:val="00805910"/>
    <w:rsid w:val="00805B35"/>
    <w:rsid w:val="008163E2"/>
    <w:rsid w:val="00816620"/>
    <w:rsid w:val="00820162"/>
    <w:rsid w:val="0082129C"/>
    <w:rsid w:val="008216BF"/>
    <w:rsid w:val="0082306B"/>
    <w:rsid w:val="008301E0"/>
    <w:rsid w:val="00833E04"/>
    <w:rsid w:val="00835530"/>
    <w:rsid w:val="00854599"/>
    <w:rsid w:val="008601F6"/>
    <w:rsid w:val="00862DA5"/>
    <w:rsid w:val="00874470"/>
    <w:rsid w:val="00876234"/>
    <w:rsid w:val="00876B2C"/>
    <w:rsid w:val="00877C1F"/>
    <w:rsid w:val="0088065B"/>
    <w:rsid w:val="00880BD4"/>
    <w:rsid w:val="008836A0"/>
    <w:rsid w:val="00886424"/>
    <w:rsid w:val="00894726"/>
    <w:rsid w:val="00895155"/>
    <w:rsid w:val="00896774"/>
    <w:rsid w:val="00896A6C"/>
    <w:rsid w:val="008A0C5B"/>
    <w:rsid w:val="008B06D4"/>
    <w:rsid w:val="008B18D0"/>
    <w:rsid w:val="008B1C9A"/>
    <w:rsid w:val="008B5493"/>
    <w:rsid w:val="008D1295"/>
    <w:rsid w:val="008D5321"/>
    <w:rsid w:val="008D7AD9"/>
    <w:rsid w:val="008E6E31"/>
    <w:rsid w:val="008E708B"/>
    <w:rsid w:val="008F3B8D"/>
    <w:rsid w:val="008F7E78"/>
    <w:rsid w:val="0090277D"/>
    <w:rsid w:val="00905423"/>
    <w:rsid w:val="00910ED2"/>
    <w:rsid w:val="009157A9"/>
    <w:rsid w:val="00915D23"/>
    <w:rsid w:val="00920CB3"/>
    <w:rsid w:val="0092333B"/>
    <w:rsid w:val="00925265"/>
    <w:rsid w:val="0093045D"/>
    <w:rsid w:val="009307F7"/>
    <w:rsid w:val="00944462"/>
    <w:rsid w:val="00951B63"/>
    <w:rsid w:val="0096012B"/>
    <w:rsid w:val="0096251C"/>
    <w:rsid w:val="0096286B"/>
    <w:rsid w:val="009634D1"/>
    <w:rsid w:val="009672F0"/>
    <w:rsid w:val="00971006"/>
    <w:rsid w:val="009713FE"/>
    <w:rsid w:val="00977805"/>
    <w:rsid w:val="009800FC"/>
    <w:rsid w:val="00991B6F"/>
    <w:rsid w:val="0099213E"/>
    <w:rsid w:val="009969B2"/>
    <w:rsid w:val="009970FC"/>
    <w:rsid w:val="00997952"/>
    <w:rsid w:val="009A66FF"/>
    <w:rsid w:val="009A6A8A"/>
    <w:rsid w:val="009A716B"/>
    <w:rsid w:val="009B612D"/>
    <w:rsid w:val="009B62BB"/>
    <w:rsid w:val="009C05A4"/>
    <w:rsid w:val="009C65F4"/>
    <w:rsid w:val="009D12FF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30F43"/>
    <w:rsid w:val="00A33009"/>
    <w:rsid w:val="00A41EAD"/>
    <w:rsid w:val="00A4539D"/>
    <w:rsid w:val="00A4561B"/>
    <w:rsid w:val="00A503F3"/>
    <w:rsid w:val="00A512E9"/>
    <w:rsid w:val="00A56A43"/>
    <w:rsid w:val="00A60E03"/>
    <w:rsid w:val="00A70975"/>
    <w:rsid w:val="00A76A94"/>
    <w:rsid w:val="00A80039"/>
    <w:rsid w:val="00A80BB2"/>
    <w:rsid w:val="00A909EF"/>
    <w:rsid w:val="00A90FC8"/>
    <w:rsid w:val="00A913E3"/>
    <w:rsid w:val="00A91AF9"/>
    <w:rsid w:val="00A94226"/>
    <w:rsid w:val="00A953B5"/>
    <w:rsid w:val="00A96BDA"/>
    <w:rsid w:val="00A971E6"/>
    <w:rsid w:val="00A97FA9"/>
    <w:rsid w:val="00AB12D9"/>
    <w:rsid w:val="00AB4373"/>
    <w:rsid w:val="00AB43E4"/>
    <w:rsid w:val="00AB563D"/>
    <w:rsid w:val="00AC0060"/>
    <w:rsid w:val="00AC0856"/>
    <w:rsid w:val="00AC3611"/>
    <w:rsid w:val="00AC3768"/>
    <w:rsid w:val="00AD249B"/>
    <w:rsid w:val="00AD4B13"/>
    <w:rsid w:val="00AF2DD0"/>
    <w:rsid w:val="00AF4A9F"/>
    <w:rsid w:val="00AF7A63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61F69"/>
    <w:rsid w:val="00B638DF"/>
    <w:rsid w:val="00B63E86"/>
    <w:rsid w:val="00B7099B"/>
    <w:rsid w:val="00B71F92"/>
    <w:rsid w:val="00B7600A"/>
    <w:rsid w:val="00B83066"/>
    <w:rsid w:val="00B83DA1"/>
    <w:rsid w:val="00B840BE"/>
    <w:rsid w:val="00B86216"/>
    <w:rsid w:val="00B86457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6A23"/>
    <w:rsid w:val="00BE788A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16AF0"/>
    <w:rsid w:val="00C2012B"/>
    <w:rsid w:val="00C268C0"/>
    <w:rsid w:val="00C36609"/>
    <w:rsid w:val="00C40795"/>
    <w:rsid w:val="00C41A23"/>
    <w:rsid w:val="00C62068"/>
    <w:rsid w:val="00C63372"/>
    <w:rsid w:val="00C64FC5"/>
    <w:rsid w:val="00C72121"/>
    <w:rsid w:val="00C72564"/>
    <w:rsid w:val="00C7690F"/>
    <w:rsid w:val="00C82A13"/>
    <w:rsid w:val="00C85B91"/>
    <w:rsid w:val="00C86AAE"/>
    <w:rsid w:val="00C949C6"/>
    <w:rsid w:val="00CA109F"/>
    <w:rsid w:val="00CA2019"/>
    <w:rsid w:val="00CA31B2"/>
    <w:rsid w:val="00CA5266"/>
    <w:rsid w:val="00CB4CCE"/>
    <w:rsid w:val="00CC58BE"/>
    <w:rsid w:val="00CD11CB"/>
    <w:rsid w:val="00CD3381"/>
    <w:rsid w:val="00CD4C10"/>
    <w:rsid w:val="00CE2B5D"/>
    <w:rsid w:val="00CE2D45"/>
    <w:rsid w:val="00CE795F"/>
    <w:rsid w:val="00CE7D73"/>
    <w:rsid w:val="00CF2B0B"/>
    <w:rsid w:val="00CF3563"/>
    <w:rsid w:val="00CF3E8A"/>
    <w:rsid w:val="00CF7643"/>
    <w:rsid w:val="00CF7F32"/>
    <w:rsid w:val="00D04B48"/>
    <w:rsid w:val="00D100E5"/>
    <w:rsid w:val="00D13902"/>
    <w:rsid w:val="00D17004"/>
    <w:rsid w:val="00D17E8B"/>
    <w:rsid w:val="00D25BD0"/>
    <w:rsid w:val="00D25FB7"/>
    <w:rsid w:val="00D34640"/>
    <w:rsid w:val="00D34674"/>
    <w:rsid w:val="00D45332"/>
    <w:rsid w:val="00D51049"/>
    <w:rsid w:val="00D52D69"/>
    <w:rsid w:val="00D5406F"/>
    <w:rsid w:val="00D5471E"/>
    <w:rsid w:val="00D54D41"/>
    <w:rsid w:val="00D54EBD"/>
    <w:rsid w:val="00D55DB6"/>
    <w:rsid w:val="00D56812"/>
    <w:rsid w:val="00D6234F"/>
    <w:rsid w:val="00D63E8F"/>
    <w:rsid w:val="00D65E82"/>
    <w:rsid w:val="00D769F8"/>
    <w:rsid w:val="00D8485B"/>
    <w:rsid w:val="00D8545D"/>
    <w:rsid w:val="00D873ED"/>
    <w:rsid w:val="00D91731"/>
    <w:rsid w:val="00D92FB9"/>
    <w:rsid w:val="00D935E1"/>
    <w:rsid w:val="00DA0216"/>
    <w:rsid w:val="00DA3A8D"/>
    <w:rsid w:val="00DA486C"/>
    <w:rsid w:val="00DB0A87"/>
    <w:rsid w:val="00DB0C6A"/>
    <w:rsid w:val="00DB4CA3"/>
    <w:rsid w:val="00DB7818"/>
    <w:rsid w:val="00DC19C2"/>
    <w:rsid w:val="00DC20D1"/>
    <w:rsid w:val="00DC36A1"/>
    <w:rsid w:val="00DC479C"/>
    <w:rsid w:val="00DD265F"/>
    <w:rsid w:val="00DD295D"/>
    <w:rsid w:val="00DD6E70"/>
    <w:rsid w:val="00DE0A18"/>
    <w:rsid w:val="00DE637F"/>
    <w:rsid w:val="00DF5A92"/>
    <w:rsid w:val="00E05B1C"/>
    <w:rsid w:val="00E07DC5"/>
    <w:rsid w:val="00E13199"/>
    <w:rsid w:val="00E207CF"/>
    <w:rsid w:val="00E2442F"/>
    <w:rsid w:val="00E2628C"/>
    <w:rsid w:val="00E310F0"/>
    <w:rsid w:val="00E34459"/>
    <w:rsid w:val="00E432D5"/>
    <w:rsid w:val="00E50B4C"/>
    <w:rsid w:val="00E53763"/>
    <w:rsid w:val="00E60CF2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9754A"/>
    <w:rsid w:val="00EA416C"/>
    <w:rsid w:val="00EA4C0D"/>
    <w:rsid w:val="00EB1BA6"/>
    <w:rsid w:val="00EB31E5"/>
    <w:rsid w:val="00EB37E7"/>
    <w:rsid w:val="00EB4B01"/>
    <w:rsid w:val="00EB605A"/>
    <w:rsid w:val="00EC5E92"/>
    <w:rsid w:val="00EC7408"/>
    <w:rsid w:val="00EC7BFE"/>
    <w:rsid w:val="00ED494D"/>
    <w:rsid w:val="00ED4B13"/>
    <w:rsid w:val="00ED61D0"/>
    <w:rsid w:val="00ED627E"/>
    <w:rsid w:val="00ED72A7"/>
    <w:rsid w:val="00EE29F2"/>
    <w:rsid w:val="00EE2FB8"/>
    <w:rsid w:val="00EF115A"/>
    <w:rsid w:val="00EF2393"/>
    <w:rsid w:val="00EF2E9A"/>
    <w:rsid w:val="00F02CC3"/>
    <w:rsid w:val="00F22C8C"/>
    <w:rsid w:val="00F27678"/>
    <w:rsid w:val="00F30358"/>
    <w:rsid w:val="00F30CC3"/>
    <w:rsid w:val="00F34A24"/>
    <w:rsid w:val="00F37A73"/>
    <w:rsid w:val="00F37EB4"/>
    <w:rsid w:val="00F404F2"/>
    <w:rsid w:val="00F4108D"/>
    <w:rsid w:val="00F436F5"/>
    <w:rsid w:val="00F44466"/>
    <w:rsid w:val="00F537B7"/>
    <w:rsid w:val="00F564CA"/>
    <w:rsid w:val="00F66CD3"/>
    <w:rsid w:val="00F67E57"/>
    <w:rsid w:val="00F706C1"/>
    <w:rsid w:val="00F77D72"/>
    <w:rsid w:val="00F833D2"/>
    <w:rsid w:val="00F83CD8"/>
    <w:rsid w:val="00F8578D"/>
    <w:rsid w:val="00F85AD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1125"/>
    <w:rsid w:val="00FC2C43"/>
    <w:rsid w:val="00FC2D8B"/>
    <w:rsid w:val="00FC7967"/>
    <w:rsid w:val="00FD0269"/>
    <w:rsid w:val="00FD41EC"/>
    <w:rsid w:val="00FD59EB"/>
    <w:rsid w:val="00FE2D0E"/>
    <w:rsid w:val="00FF0DE4"/>
    <w:rsid w:val="00FF2E34"/>
    <w:rsid w:val="00FF3FDB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C3768"/>
    <w:rPr>
      <w:rFonts w:ascii="Open Sans" w:hAnsi="Open Sans"/>
      <w:sz w:val="24"/>
    </w:rPr>
  </w:style>
  <w:style w:type="paragraph" w:styleId="Rubrik1">
    <w:name w:val="heading 1"/>
    <w:basedOn w:val="Normal"/>
    <w:next w:val="Brdtext"/>
    <w:qFormat/>
    <w:rsid w:val="00AC3768"/>
    <w:pPr>
      <w:keepNext/>
      <w:spacing w:before="480" w:after="120"/>
      <w:outlineLvl w:val="0"/>
    </w:pPr>
    <w:rPr>
      <w:b/>
      <w:sz w:val="28"/>
    </w:rPr>
  </w:style>
  <w:style w:type="paragraph" w:styleId="Rubrik2">
    <w:name w:val="heading 2"/>
    <w:basedOn w:val="Normal"/>
    <w:next w:val="Brdtext"/>
    <w:qFormat/>
    <w:rsid w:val="00AC3768"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Brdtext"/>
    <w:qFormat/>
    <w:rsid w:val="00AC3768"/>
    <w:pPr>
      <w:keepNext/>
      <w:spacing w:before="180" w:after="60"/>
      <w:outlineLvl w:val="2"/>
    </w:pPr>
    <w:rPr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AC3768"/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AC3768"/>
    <w:rPr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AC3768"/>
    <w:rPr>
      <w:rFonts w:ascii="Open Sans" w:hAnsi="Open Sans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686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TabellinnehllTimesNewRoman12ptFet">
    <w:name w:val="Formatmall Tabellinnehåll + Times New Roman 12 pt Fet"/>
    <w:basedOn w:val="Tabellinnehll"/>
    <w:rsid w:val="00AC3768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C3768"/>
    <w:rPr>
      <w:rFonts w:ascii="Open Sans" w:hAnsi="Open Sans"/>
      <w:sz w:val="24"/>
    </w:rPr>
  </w:style>
  <w:style w:type="paragraph" w:styleId="Rubrik1">
    <w:name w:val="heading 1"/>
    <w:basedOn w:val="Normal"/>
    <w:next w:val="Brdtext"/>
    <w:qFormat/>
    <w:rsid w:val="00AC3768"/>
    <w:pPr>
      <w:keepNext/>
      <w:spacing w:before="480" w:after="120"/>
      <w:outlineLvl w:val="0"/>
    </w:pPr>
    <w:rPr>
      <w:b/>
      <w:sz w:val="28"/>
    </w:rPr>
  </w:style>
  <w:style w:type="paragraph" w:styleId="Rubrik2">
    <w:name w:val="heading 2"/>
    <w:basedOn w:val="Normal"/>
    <w:next w:val="Brdtext"/>
    <w:qFormat/>
    <w:rsid w:val="00AC3768"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Brdtext"/>
    <w:qFormat/>
    <w:rsid w:val="00AC3768"/>
    <w:pPr>
      <w:keepNext/>
      <w:spacing w:before="180" w:after="60"/>
      <w:outlineLvl w:val="2"/>
    </w:pPr>
    <w:rPr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AC3768"/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AC3768"/>
    <w:rPr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AC3768"/>
    <w:rPr>
      <w:rFonts w:ascii="Open Sans" w:hAnsi="Open Sans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686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TabellinnehllTimesNewRoman12ptFet">
    <w:name w:val="Formatmall Tabellinnehåll + Times New Roman 12 pt Fet"/>
    <w:basedOn w:val="Tabellinnehll"/>
    <w:rsid w:val="00AC376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munstyrelsen@skellefte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Åsa Lundmark</dc:creator>
  <dc:description>Framställt från en av FORMsoft ABs mallar</dc:description>
  <cp:lastModifiedBy>Carina Sundbom</cp:lastModifiedBy>
  <cp:revision>2</cp:revision>
  <cp:lastPrinted>2020-09-03T13:18:00Z</cp:lastPrinted>
  <dcterms:created xsi:type="dcterms:W3CDTF">2020-09-07T09:03:00Z</dcterms:created>
  <dcterms:modified xsi:type="dcterms:W3CDTF">2020-09-07T09:03:00Z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